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b/>
          <w:bCs/>
          <w:iCs/>
          <w:sz w:val="48"/>
          <w:szCs w:val="48"/>
        </w:rPr>
      </w:pPr>
    </w:p>
    <w:p>
      <w:pPr>
        <w:jc w:val="center"/>
        <w:rPr>
          <w:rFonts w:ascii="Arial" w:hAnsi="Arial" w:cs="Arial"/>
          <w:b/>
          <w:bCs/>
          <w:iCs/>
          <w:sz w:val="48"/>
          <w:szCs w:val="48"/>
        </w:rPr>
      </w:pPr>
    </w:p>
    <w:p>
      <w:pPr>
        <w:jc w:val="center"/>
        <w:rPr>
          <w:rFonts w:ascii="Arial" w:hAnsi="Arial" w:cs="Arial"/>
          <w:b/>
          <w:bCs/>
          <w:iCs/>
          <w:sz w:val="48"/>
          <w:szCs w:val="48"/>
        </w:rPr>
      </w:pPr>
    </w:p>
    <w:p>
      <w:pPr>
        <w:jc w:val="center"/>
        <w:rPr>
          <w:rFonts w:ascii="Arial" w:hAnsi="Arial" w:cs="Arial"/>
          <w:b/>
          <w:bCs/>
          <w:iCs/>
          <w:sz w:val="48"/>
          <w:szCs w:val="48"/>
        </w:rPr>
      </w:pPr>
    </w:p>
    <w:p>
      <w:pPr>
        <w:jc w:val="center"/>
        <w:rPr>
          <w:rFonts w:ascii="Arial" w:hAnsi="Arial" w:cs="Arial"/>
          <w:b/>
          <w:bCs/>
          <w:iCs/>
          <w:sz w:val="48"/>
          <w:szCs w:val="48"/>
        </w:rPr>
      </w:pPr>
    </w:p>
    <w:p>
      <w:pPr>
        <w:jc w:val="center"/>
        <w:rPr>
          <w:rFonts w:ascii="Arial" w:hAnsi="Arial" w:cs="Arial"/>
          <w:b/>
          <w:bCs/>
          <w:iCs/>
          <w:sz w:val="48"/>
          <w:szCs w:val="48"/>
        </w:rPr>
      </w:pPr>
      <w:r>
        <w:rPr>
          <w:rFonts w:ascii="Arial" w:hAnsi="Arial" w:cs="Arial"/>
          <w:b/>
          <w:bCs/>
          <w:iCs/>
          <w:sz w:val="48"/>
          <w:szCs w:val="48"/>
        </w:rPr>
        <w:t>爆版-上款/修改商品交互优化</w:t>
      </w:r>
    </w:p>
    <w:p>
      <w:pPr>
        <w:rPr>
          <w:rFonts w:ascii="Arial" w:hAnsi="Arial" w:cs="Arial"/>
          <w:bCs/>
          <w:iCs/>
        </w:rPr>
      </w:pPr>
    </w:p>
    <w:p>
      <w:pPr>
        <w:rPr>
          <w:rFonts w:ascii="Arial" w:hAnsi="Arial" w:cs="Arial"/>
          <w:bCs/>
          <w:iCs/>
        </w:rPr>
      </w:pPr>
    </w:p>
    <w:p>
      <w:pPr>
        <w:rPr>
          <w:rFonts w:ascii="Arial" w:hAnsi="Arial" w:cs="Arial"/>
          <w:bCs/>
          <w:iCs/>
        </w:rPr>
      </w:pPr>
    </w:p>
    <w:p>
      <w:pPr>
        <w:rPr>
          <w:rFonts w:ascii="Arial" w:hAnsi="Arial" w:cs="Arial"/>
          <w:bCs/>
          <w:iCs/>
        </w:rPr>
      </w:pPr>
    </w:p>
    <w:p>
      <w:pPr>
        <w:rPr>
          <w:rFonts w:ascii="Arial" w:hAnsi="Arial" w:cs="Arial"/>
          <w:bCs/>
          <w:iCs/>
        </w:rPr>
      </w:pPr>
    </w:p>
    <w:p>
      <w:pPr>
        <w:rPr>
          <w:rFonts w:ascii="Arial" w:hAnsi="Arial" w:cs="Arial"/>
          <w:bCs/>
          <w:iCs/>
          <w:color w:val="0000FF"/>
        </w:rPr>
      </w:pPr>
    </w:p>
    <w:p>
      <w:pPr>
        <w:rPr>
          <w:rFonts w:ascii="Arial" w:hAnsi="Arial" w:cs="Arial"/>
          <w:bCs/>
          <w:iCs/>
          <w:color w:val="0000FF"/>
        </w:rPr>
      </w:pPr>
    </w:p>
    <w:tbl>
      <w:tblPr>
        <w:tblStyle w:val="36"/>
        <w:tblW w:w="73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2107"/>
        <w:gridCol w:w="1734"/>
        <w:gridCol w:w="1972"/>
      </w:tblGrid>
      <w:tr>
        <w:tblPrEx>
          <w:tblLayout w:type="fixed"/>
        </w:tblPrEx>
        <w:trPr>
          <w:trHeight w:val="379" w:hRule="atLeast"/>
          <w:jc w:val="center"/>
        </w:trPr>
        <w:tc>
          <w:tcPr>
            <w:tcW w:w="1576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0" w:name="OLE_LINK1"/>
            <w:r>
              <w:rPr>
                <w:rFonts w:ascii="Arial" w:hAnsi="Arial" w:cs="Arial"/>
                <w:sz w:val="18"/>
                <w:szCs w:val="18"/>
              </w:rPr>
              <w:t>产品名：</w:t>
            </w:r>
          </w:p>
        </w:tc>
        <w:tc>
          <w:tcPr>
            <w:tcW w:w="2107" w:type="dxa"/>
            <w:vAlign w:val="center"/>
          </w:tcPr>
          <w:p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爆版</w:t>
            </w:r>
          </w:p>
        </w:tc>
        <w:tc>
          <w:tcPr>
            <w:tcW w:w="1734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版本号</w:t>
            </w:r>
            <w:r>
              <w:rPr>
                <w:rFonts w:ascii="Arial" w:hAnsi="Arial" w:cs="Arial"/>
                <w:sz w:val="18"/>
                <w:szCs w:val="18"/>
              </w:rPr>
              <w:t>：</w:t>
            </w:r>
          </w:p>
        </w:tc>
        <w:tc>
          <w:tcPr>
            <w:tcW w:w="1972" w:type="dxa"/>
            <w:vAlign w:val="center"/>
          </w:tcPr>
          <w:p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2.5.0</w:t>
            </w:r>
          </w:p>
        </w:tc>
      </w:tr>
      <w:tr>
        <w:tblPrEx>
          <w:tblLayout w:type="fixed"/>
        </w:tblPrEx>
        <w:trPr>
          <w:trHeight w:val="413" w:hRule="atLeast"/>
          <w:jc w:val="center"/>
        </w:trPr>
        <w:tc>
          <w:tcPr>
            <w:tcW w:w="1576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编写人：</w:t>
            </w:r>
          </w:p>
        </w:tc>
        <w:tc>
          <w:tcPr>
            <w:tcW w:w="2107" w:type="dxa"/>
            <w:vAlign w:val="center"/>
          </w:tcPr>
          <w:p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黄泽浩</w:t>
            </w:r>
          </w:p>
        </w:tc>
        <w:tc>
          <w:tcPr>
            <w:tcW w:w="1734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编写日期：</w:t>
            </w:r>
          </w:p>
        </w:tc>
        <w:tc>
          <w:tcPr>
            <w:tcW w:w="1972" w:type="dxa"/>
            <w:vAlign w:val="center"/>
          </w:tcPr>
          <w:p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sz w:val="18"/>
                <w:szCs w:val="18"/>
              </w:rPr>
              <w:t>2020-03-19</w:t>
            </w:r>
          </w:p>
        </w:tc>
      </w:tr>
      <w:bookmarkEnd w:id="0"/>
    </w:tbl>
    <w:p/>
    <w:p>
      <w:pPr>
        <w:widowControl/>
        <w:spacing w:line="240" w:lineRule="auto"/>
      </w:pPr>
      <w:r>
        <w:br w:type="page"/>
      </w:r>
    </w:p>
    <w:sdt>
      <w:sdtPr>
        <w:rPr>
          <w:rFonts w:ascii="宋体" w:hAnsi="Times New Roman" w:eastAsia="宋体"/>
          <w:snapToGrid w:val="0"/>
          <w:color w:val="auto"/>
          <w:sz w:val="21"/>
          <w:szCs w:val="20"/>
          <w:lang w:val="zh-CN"/>
        </w:rPr>
        <w:id w:val="0"/>
      </w:sdtPr>
      <w:sdtEndPr>
        <w:rPr>
          <w:rFonts w:ascii="宋体" w:hAnsi="Times New Roman" w:eastAsia="宋体"/>
          <w:b/>
          <w:bCs/>
          <w:snapToGrid w:val="0"/>
          <w:color w:val="auto"/>
          <w:sz w:val="21"/>
          <w:szCs w:val="20"/>
          <w:lang w:val="zh-CN"/>
        </w:rPr>
      </w:sdtEndPr>
      <w:sdtContent>
        <w:p>
          <w:pPr>
            <w:pStyle w:val="80"/>
          </w:pPr>
          <w:r>
            <w:rPr>
              <w:lang w:val="zh-CN"/>
            </w:rPr>
            <w:t>目录</w:t>
          </w:r>
        </w:p>
        <w:p>
          <w:pPr>
            <w:pStyle w:val="22"/>
            <w:tabs>
              <w:tab w:val="right" w:leader="dot" w:pos="10800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_Toc1222844560 </w:instrText>
          </w:r>
          <w:r>
            <w:fldChar w:fldCharType="separate"/>
          </w:r>
          <w:r>
            <w:rPr>
              <w:rFonts w:hint="eastAsia" w:eastAsia="宋体"/>
              <w:i w:val="0"/>
              <w:szCs w:val="44"/>
            </w:rPr>
            <w:t xml:space="preserve">1 </w:t>
          </w:r>
          <w:r>
            <w:rPr>
              <w:rFonts w:hint="eastAsia"/>
            </w:rPr>
            <w:t>需求概述</w:t>
          </w:r>
          <w:r>
            <w:tab/>
          </w:r>
          <w:r>
            <w:fldChar w:fldCharType="begin"/>
          </w:r>
          <w:r>
            <w:instrText xml:space="preserve"> PAGEREF _Toc1222844560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tabs>
              <w:tab w:val="right" w:leader="dot" w:pos="1080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_Toc930018130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32"/>
            </w:rPr>
            <w:t xml:space="preserve">1.1 </w:t>
          </w:r>
          <w:r>
            <w:rPr>
              <w:rFonts w:hint="eastAsia"/>
            </w:rPr>
            <w:t>业务背景</w:t>
          </w:r>
          <w:r>
            <w:tab/>
          </w:r>
          <w:r>
            <w:fldChar w:fldCharType="begin"/>
          </w:r>
          <w:r>
            <w:instrText xml:space="preserve"> PAGEREF _Toc930018130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2"/>
            <w:tabs>
              <w:tab w:val="right" w:leader="dot" w:pos="1080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_Toc1428728044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44"/>
              <w:lang w:eastAsia="zh-CN"/>
            </w:rPr>
            <w:t xml:space="preserve">2 </w:t>
          </w:r>
          <w:r>
            <w:rPr>
              <w:rFonts w:hint="eastAsia"/>
            </w:rPr>
            <w:t>需求分析</w:t>
          </w:r>
          <w:r>
            <w:tab/>
          </w:r>
          <w:r>
            <w:fldChar w:fldCharType="begin"/>
          </w:r>
          <w:r>
            <w:instrText xml:space="preserve"> PAGEREF _Toc1428728044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080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_Toc1617578401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32"/>
              <w:lang w:eastAsia="zh-CN"/>
            </w:rPr>
            <w:t xml:space="preserve">2.1 </w:t>
          </w:r>
          <w:r>
            <w:rPr>
              <w:rFonts w:hint="default"/>
            </w:rPr>
            <w:t>爆版修改商品信息—添加/优化项目内容</w:t>
          </w:r>
          <w:r>
            <w:tab/>
          </w:r>
          <w:r>
            <w:fldChar w:fldCharType="begin"/>
          </w:r>
          <w:r>
            <w:instrText xml:space="preserve"> PAGEREF _Toc1617578401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080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_Toc1644698234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32"/>
              <w:lang w:eastAsia="zh-CN"/>
            </w:rPr>
            <w:t xml:space="preserve">2.2 </w:t>
          </w:r>
          <w:r>
            <w:rPr>
              <w:rFonts w:hint="default"/>
              <w:szCs w:val="28"/>
            </w:rPr>
            <w:t>商城后台【修改商品信息申请】列表优化</w:t>
          </w:r>
          <w:r>
            <w:tab/>
          </w:r>
          <w:r>
            <w:fldChar w:fldCharType="begin"/>
          </w:r>
          <w:r>
            <w:instrText xml:space="preserve"> PAGEREF _Toc1644698234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080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_Toc33714654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32"/>
              <w:lang w:eastAsia="zh-CN"/>
            </w:rPr>
            <w:t xml:space="preserve">2.3 </w:t>
          </w:r>
          <w:r>
            <w:rPr>
              <w:rFonts w:hint="default"/>
            </w:rPr>
            <w:t>一手商品助手【消息通知】</w:t>
          </w:r>
          <w:r>
            <w:tab/>
          </w:r>
          <w:r>
            <w:fldChar w:fldCharType="begin"/>
          </w:r>
          <w:r>
            <w:instrText xml:space="preserve"> PAGEREF _Toc33714654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080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_Toc1853990617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32"/>
              <w:lang w:eastAsia="zh-CN"/>
            </w:rPr>
            <w:t xml:space="preserve">2.4 </w:t>
          </w:r>
          <w:r>
            <w:rPr>
              <w:rFonts w:hint="default"/>
            </w:rPr>
            <w:t>添加“价格/即时库存”设置功能</w:t>
          </w:r>
          <w:r>
            <w:tab/>
          </w:r>
          <w:r>
            <w:fldChar w:fldCharType="begin"/>
          </w:r>
          <w:r>
            <w:instrText xml:space="preserve"> PAGEREF _Toc1853990617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080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_Toc32581949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32"/>
              <w:lang w:eastAsia="zh-CN"/>
            </w:rPr>
            <w:t xml:space="preserve">2.5 </w:t>
          </w:r>
          <w:r>
            <w:rPr>
              <w:rFonts w:hint="default"/>
            </w:rPr>
            <w:t>商城后台新增【供应商改价日志】</w:t>
          </w:r>
          <w:r>
            <w:tab/>
          </w:r>
          <w:r>
            <w:fldChar w:fldCharType="begin"/>
          </w:r>
          <w:r>
            <w:instrText xml:space="preserve"> PAGEREF _Toc32581949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080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_Toc2143970505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32"/>
              <w:lang w:eastAsia="zh-CN"/>
            </w:rPr>
            <w:t xml:space="preserve">2.6 </w:t>
          </w:r>
          <w:r>
            <w:rPr>
              <w:rFonts w:hint="default"/>
            </w:rPr>
            <w:t>爆版-自主上款内容添加及交互优化</w:t>
          </w:r>
          <w:r>
            <w:tab/>
          </w:r>
          <w:r>
            <w:fldChar w:fldCharType="begin"/>
          </w:r>
          <w:r>
            <w:instrText xml:space="preserve"> PAGEREF _Toc2143970505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1080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_Toc1084164522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i w:val="0"/>
              <w:szCs w:val="32"/>
              <w:lang w:eastAsia="zh-CN"/>
            </w:rPr>
            <w:t xml:space="preserve">2.7 </w:t>
          </w:r>
          <w:r>
            <w:rPr>
              <w:rFonts w:hint="default"/>
            </w:rPr>
            <w:t>爆版-上款审核/完善商品资料被驳回新增功能按钮</w:t>
          </w:r>
          <w:r>
            <w:tab/>
          </w:r>
          <w:r>
            <w:fldChar w:fldCharType="begin"/>
          </w:r>
          <w:r>
            <w:instrText xml:space="preserve"> PAGEREF _Toc1084164522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</w:pPr>
      <w:r>
        <w:br w:type="page"/>
      </w:r>
      <w:bookmarkStart w:id="11" w:name="_GoBack"/>
      <w:bookmarkEnd w:id="11"/>
    </w:p>
    <w:p>
      <w:pPr>
        <w:pStyle w:val="2"/>
      </w:pPr>
      <w:bookmarkStart w:id="1" w:name="_Toc1222844560"/>
      <w:r>
        <w:rPr>
          <w:rFonts w:hint="eastAsia"/>
        </w:rPr>
        <w:t>需求概述</w:t>
      </w:r>
      <w:bookmarkEnd w:id="1"/>
    </w:p>
    <w:p>
      <w:pPr>
        <w:pStyle w:val="3"/>
      </w:pPr>
      <w:bookmarkStart w:id="2" w:name="_Toc930018130"/>
      <w:r>
        <w:rPr>
          <w:rFonts w:hint="eastAsia"/>
        </w:rPr>
        <w:t>业务背景</w:t>
      </w:r>
      <w:bookmarkEnd w:id="2"/>
    </w:p>
    <w:p>
      <w:pPr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  <w:lang w:eastAsia="zh-CN"/>
        </w:rPr>
        <w:t>给供应商提供易用性更高，信息量更全面的商品上款及编辑功能，目的降低一手和供应商之间的线下沟通成本，提高业务效率；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-简" w:hAnsi="宋体-简" w:eastAsia="宋体-简" w:cs="宋体-简"/>
          <w:sz w:val="24"/>
          <w:szCs w:val="24"/>
        </w:rPr>
      </w:pPr>
    </w:p>
    <w:p>
      <w:pPr>
        <w:pStyle w:val="2"/>
        <w:rPr>
          <w:rFonts w:hint="default"/>
          <w:lang w:eastAsia="zh-CN"/>
        </w:rPr>
      </w:pPr>
      <w:bookmarkStart w:id="3" w:name="_Toc1428728044"/>
      <w:r>
        <w:rPr>
          <w:rFonts w:hint="eastAsia"/>
        </w:rPr>
        <w:t>需求分析</w:t>
      </w:r>
      <w:bookmarkEnd w:id="3"/>
    </w:p>
    <w:p>
      <w:pPr>
        <w:pStyle w:val="3"/>
        <w:rPr>
          <w:rFonts w:hint="default"/>
          <w:lang w:eastAsia="zh-CN"/>
        </w:rPr>
      </w:pPr>
      <w:bookmarkStart w:id="4" w:name="_Toc1617578401"/>
      <w:r>
        <w:rPr>
          <w:rFonts w:hint="default"/>
        </w:rPr>
        <w:t>爆版修改商品信息—添加/优化项目内容</w:t>
      </w:r>
      <w:bookmarkEnd w:id="4"/>
    </w:p>
    <w:p>
      <w:pPr>
        <w:pStyle w:val="55"/>
        <w:numPr>
          <w:ilvl w:val="0"/>
          <w:numId w:val="2"/>
        </w:numPr>
        <w:ind w:firstLineChars="0"/>
        <w:rPr>
          <w:rFonts w:hint="eastAsia"/>
          <w:b/>
          <w:sz w:val="24"/>
          <w:szCs w:val="24"/>
        </w:rPr>
      </w:pPr>
      <w:r>
        <w:rPr>
          <w:rFonts w:hint="default"/>
          <w:b/>
          <w:sz w:val="24"/>
          <w:szCs w:val="24"/>
        </w:rPr>
        <w:t>需求说明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原来的“图片”区分开“模特图”与“实拍图”，分别对应着商品库的数据，每一类图片的当前商品库图片（包括删图申请的）加上“添加申请”的不能超过20张；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去掉图片左上角的“删除”按钮（若要删，可以点开大图后使用里面的垃圾桶删除）；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“删除申请”缩略图上的“恢复”按钮迁移至大图里面；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大图里添加“删图申请”、“加图申请”、“删除视频申请”和“添加视频申请”的显示；</w:t>
      </w:r>
    </w:p>
    <w:p>
      <w:pPr>
        <w:pStyle w:val="55"/>
        <w:numPr>
          <w:ilvl w:val="0"/>
          <w:numId w:val="0"/>
        </w:numPr>
        <w:ind w:leftChars="600"/>
      </w:pPr>
      <w:r>
        <w:drawing>
          <wp:inline distT="0" distB="0" distL="114300" distR="114300">
            <wp:extent cx="3949700" cy="2971800"/>
            <wp:effectExtent l="0" t="0" r="1270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  <w:ind w:leftChars="600"/>
        <w:rPr>
          <w:rFonts w:hint="default"/>
        </w:rPr>
      </w:pP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去掉当前图片底部的“设为主图”按钮；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“主图”不再需要标签，模特图的第一张则为主图，所以需要在页面模特图的首位底部处，写死“主图”的位置；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图片及视频的缩略图容器改为“竖长方形”，图片按照容器的宽度等比缩小，若图片高度超过容器，则超出部分不显示（为了保证图片不变形）；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视频区，已存在的视频上的“删除”按钮位置调整至右上角。若有已存在视频，按钮名称为“更换”，若没有已存在视频，按钮名称为“+添加”；</w:t>
      </w:r>
    </w:p>
    <w:p>
      <w:pPr>
        <w:pStyle w:val="55"/>
        <w:numPr>
          <w:ilvl w:val="0"/>
          <w:numId w:val="3"/>
        </w:numPr>
        <w:ind w:leftChars="400"/>
        <w:rPr>
          <w:rFonts w:hint="eastAsia"/>
          <w:b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商品名称的改为全数显示，填写栏高度自适应；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预计几天后能发货——数据与采购版APP的“预计回货天数”同居互通且影响，规则：当“预计回货天数”为“空”或小于零是，显示“请填写天数”。当“预计天数”大于零时，显示对应数值；</w:t>
      </w:r>
    </w:p>
    <w:p>
      <w:pPr>
        <w:pStyle w:val="55"/>
        <w:widowControl w:val="0"/>
        <w:numPr>
          <w:ilvl w:val="0"/>
          <w:numId w:val="0"/>
        </w:numPr>
        <w:spacing w:line="240" w:lineRule="atLeast"/>
      </w:pPr>
      <w:r>
        <w:drawing>
          <wp:inline distT="0" distB="0" distL="114300" distR="114300">
            <wp:extent cx="6193790" cy="5816600"/>
            <wp:effectExtent l="0" t="0" r="381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581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widowControl w:val="0"/>
        <w:numPr>
          <w:ilvl w:val="0"/>
          <w:numId w:val="0"/>
        </w:numPr>
        <w:spacing w:line="240" w:lineRule="atLeast"/>
      </w:pPr>
      <w:r>
        <w:drawing>
          <wp:inline distT="0" distB="0" distL="114300" distR="114300">
            <wp:extent cx="6842125" cy="2654300"/>
            <wp:effectExtent l="0" t="0" r="15875" b="1270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widowControl w:val="0"/>
        <w:numPr>
          <w:ilvl w:val="0"/>
          <w:numId w:val="0"/>
        </w:numPr>
        <w:spacing w:line="240" w:lineRule="atLeast"/>
      </w:pPr>
    </w:p>
    <w:p>
      <w:pPr>
        <w:pStyle w:val="55"/>
        <w:widowControl w:val="0"/>
        <w:numPr>
          <w:ilvl w:val="0"/>
          <w:numId w:val="0"/>
        </w:numPr>
        <w:spacing w:line="240" w:lineRule="atLeast"/>
        <w:rPr>
          <w:rFonts w:hint="default"/>
        </w:rPr>
      </w:pPr>
    </w:p>
    <w:p>
      <w:pPr>
        <w:pStyle w:val="3"/>
        <w:rPr>
          <w:rFonts w:hint="default"/>
          <w:sz w:val="28"/>
          <w:szCs w:val="28"/>
          <w:lang w:eastAsia="zh-CN"/>
        </w:rPr>
      </w:pPr>
      <w:bookmarkStart w:id="5" w:name="_Toc1644698234"/>
      <w:r>
        <w:rPr>
          <w:rFonts w:hint="default"/>
          <w:sz w:val="28"/>
          <w:szCs w:val="28"/>
        </w:rPr>
        <w:t>商城后台【修改商品信息申请】列表优化</w:t>
      </w:r>
      <w:bookmarkEnd w:id="5"/>
    </w:p>
    <w:p>
      <w:pPr>
        <w:pStyle w:val="55"/>
        <w:numPr>
          <w:ilvl w:val="0"/>
          <w:numId w:val="2"/>
        </w:numPr>
        <w:ind w:firstLineChars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设计规范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【审核】列表里，“商品款号”及“商品名称”这两个项目，若判断到提交修改的数据与当前商品库的对应数据不一致，则显示“原内容（黑字）=&gt;修改申请内容（蓝字）”，且下方出现“备注”输入框。若字段一直的则只需显示原有数据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对于“添加颜色”和“添加尺码”这两项，若判断到提交新增的数据与当前商品库的对应数据不一致，则为新增数据，原有数据为黑体字，新增的为“蓝色字体”，且每一个新增想都需要单独配置一个“备注”输入框共填写。没有新增数据的则黑色字体显示出当前已有数据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点击“保存并更新商品库”按钮时进入【商品编辑】页面同时需要进行以下判及处理：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①审核页面里，将所有“不为空”的备注框里的项目及信息汇总并发送至爆版【消息通知】去，这些项目信息视为被驳回，无需带入【商品编辑】页；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②备注信息为“空”的项目信息需要被带进【商品编辑】页，但无需被发送至爆版；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【商品编辑】也里，颜色和尺码的“新增”提示只需要显示新增项；</w:t>
      </w:r>
    </w:p>
    <w:p>
      <w:pPr>
        <w:pStyle w:val="55"/>
        <w:numPr>
          <w:ilvl w:val="0"/>
          <w:numId w:val="3"/>
        </w:numPr>
        <w:ind w:leftChars="400"/>
        <w:rPr>
          <w:rFonts w:hint="eastAsia"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【审核记录】页面，添加款号、名称、颜色尺码的通过及驳回的记录；</w:t>
      </w:r>
    </w:p>
    <w:p>
      <w:pPr>
        <w:pStyle w:val="55"/>
        <w:numPr>
          <w:ilvl w:val="0"/>
          <w:numId w:val="0"/>
        </w:numPr>
        <w:ind w:leftChars="600"/>
        <w:rPr>
          <w:rFonts w:hint="eastAsia"/>
          <w:sz w:val="28"/>
          <w:szCs w:val="28"/>
        </w:rPr>
      </w:pPr>
    </w:p>
    <w:p>
      <w:pPr>
        <w:pStyle w:val="55"/>
        <w:numPr>
          <w:ilvl w:val="0"/>
          <w:numId w:val="2"/>
        </w:numPr>
        <w:ind w:firstLineChars="0"/>
        <w:rPr>
          <w:rFonts w:hint="eastAsia"/>
          <w:b/>
          <w:sz w:val="28"/>
          <w:szCs w:val="28"/>
        </w:rPr>
      </w:pPr>
      <w:r>
        <w:rPr>
          <w:rFonts w:hint="default"/>
          <w:b/>
          <w:sz w:val="28"/>
          <w:szCs w:val="28"/>
        </w:rPr>
        <w:t>原型</w:t>
      </w:r>
    </w:p>
    <w:p>
      <w:pPr>
        <w:rPr>
          <w:rFonts w:hint="default"/>
          <w:b/>
          <w:sz w:val="28"/>
          <w:szCs w:val="28"/>
        </w:rPr>
      </w:pPr>
      <w:r>
        <w:rPr>
          <w:rFonts w:hint="default"/>
          <w:b/>
          <w:sz w:val="28"/>
          <w:szCs w:val="28"/>
        </w:rPr>
        <w:t>审核及商品编辑页面</w:t>
      </w:r>
    </w:p>
    <w:p>
      <w:r>
        <w:drawing>
          <wp:inline distT="0" distB="0" distL="114300" distR="114300">
            <wp:extent cx="5791835" cy="8168640"/>
            <wp:effectExtent l="0" t="0" r="24765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审核记录页面</w:t>
      </w:r>
    </w:p>
    <w:p>
      <w:pPr>
        <w:rPr>
          <w:rFonts w:hint="default"/>
        </w:rPr>
      </w:pPr>
      <w:r>
        <w:drawing>
          <wp:inline distT="0" distB="0" distL="114300" distR="114300">
            <wp:extent cx="3872865" cy="4323715"/>
            <wp:effectExtent l="0" t="0" r="13335" b="1968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432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widowControl w:val="0"/>
        <w:numPr>
          <w:ilvl w:val="0"/>
          <w:numId w:val="0"/>
        </w:numPr>
        <w:spacing w:line="240" w:lineRule="atLeast"/>
        <w:rPr>
          <w:rFonts w:hint="default"/>
          <w:b w:val="0"/>
          <w:bCs/>
          <w:sz w:val="28"/>
          <w:szCs w:val="28"/>
        </w:rPr>
      </w:pPr>
    </w:p>
    <w:p>
      <w:pPr>
        <w:pStyle w:val="3"/>
        <w:rPr>
          <w:rFonts w:hint="default"/>
          <w:lang w:eastAsia="zh-CN"/>
        </w:rPr>
      </w:pPr>
      <w:bookmarkStart w:id="6" w:name="_Toc33714654"/>
      <w:r>
        <w:rPr>
          <w:rFonts w:hint="default"/>
        </w:rPr>
        <w:t>一手商品助手【消息通知】</w:t>
      </w:r>
      <w:bookmarkEnd w:id="6"/>
    </w:p>
    <w:p>
      <w:pPr>
        <w:pStyle w:val="55"/>
        <w:numPr>
          <w:ilvl w:val="0"/>
          <w:numId w:val="2"/>
        </w:numPr>
        <w:ind w:firstLineChars="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设计规范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原本的消息名称“图片修改申请-消息反馈”修改为“商品信息修改被驳回”（包含详情页的页面名称）；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消息通知列表里，每条消息均显示一张该商品的封面图片，去掉旧的图片显示逻辑；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【商品信息修改被驳回】页面，添加驳回时间。申请日期改为申请时间；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添加显示商品的主图，点击可放大；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原本的图片驳回信息需要按类型区分开“模特图”和“实拍图”；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添加“商品名称、款号、颜色、尺码”的驳回信息项目。名称和款号均有修改前后及驳回原因。颜色和尺码只有申通想及驳回原因；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【商品信息修改被驳回】只需要显示被驳回的项目；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添加销量类型——价格修改被驳回。当商城后台【商品价格审核】列表里对“爆版来源”的申请驳回处理，对应供应商店铺就会收到驳回消息。点击进入同名详情页；</w:t>
      </w:r>
    </w:p>
    <w:p>
      <w:pPr>
        <w:pStyle w:val="55"/>
        <w:numPr>
          <w:ilvl w:val="0"/>
          <w:numId w:val="3"/>
        </w:numPr>
        <w:ind w:leftChars="400"/>
        <w:rPr>
          <w:rFonts w:hint="eastAsia"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【价格修改被驳回】详情页面，展示上主图、申请修改及驳回时间、商品标题、款号，以及申请修改前后的开售方式和价格情况，最后是【商品价格审核】对这条申请的驳回备注；</w:t>
      </w:r>
    </w:p>
    <w:p>
      <w:pPr>
        <w:pStyle w:val="55"/>
        <w:numPr>
          <w:ilvl w:val="0"/>
          <w:numId w:val="3"/>
        </w:numPr>
        <w:ind w:leftChars="400"/>
        <w:rPr>
          <w:rFonts w:hint="eastAsia"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和商品信息被驳回一样，新消息需要“红点”的未读提醒，进入详情后视为已读。详情页点击“重新修改”按钮进入该款商品的【修改一手商品信息】页面；</w:t>
      </w:r>
    </w:p>
    <w:p>
      <w:pPr>
        <w:pStyle w:val="55"/>
        <w:numPr>
          <w:ilvl w:val="0"/>
          <w:numId w:val="0"/>
        </w:numPr>
        <w:ind w:leftChars="600"/>
        <w:rPr>
          <w:rFonts w:hint="eastAsia"/>
        </w:rPr>
      </w:pPr>
    </w:p>
    <w:p>
      <w:pPr>
        <w:pStyle w:val="55"/>
        <w:numPr>
          <w:ilvl w:val="0"/>
          <w:numId w:val="2"/>
        </w:numPr>
        <w:ind w:firstLineChars="0"/>
        <w:rPr>
          <w:rFonts w:hint="eastAsia"/>
          <w:b/>
          <w:sz w:val="24"/>
          <w:szCs w:val="24"/>
        </w:rPr>
      </w:pPr>
      <w:r>
        <w:rPr>
          <w:rFonts w:hint="default"/>
          <w:b/>
          <w:sz w:val="24"/>
          <w:szCs w:val="24"/>
        </w:rPr>
        <w:t>原型</w:t>
      </w:r>
    </w:p>
    <w:p>
      <w:pPr>
        <w:rPr>
          <w:rFonts w:hint="default"/>
          <w:b/>
          <w:sz w:val="24"/>
          <w:szCs w:val="24"/>
        </w:rPr>
      </w:pPr>
      <w:r>
        <w:rPr>
          <w:rFonts w:hint="default"/>
          <w:b/>
          <w:sz w:val="24"/>
          <w:szCs w:val="24"/>
        </w:rPr>
        <w:t>“消息列表及【商品信息被驳回】详情</w:t>
      </w:r>
    </w:p>
    <w:p>
      <w:pPr>
        <w:pStyle w:val="55"/>
        <w:widowControl w:val="0"/>
        <w:numPr>
          <w:ilvl w:val="0"/>
          <w:numId w:val="0"/>
        </w:numPr>
        <w:spacing w:line="240" w:lineRule="atLeast"/>
      </w:pPr>
      <w:r>
        <w:drawing>
          <wp:inline distT="0" distB="0" distL="114300" distR="114300">
            <wp:extent cx="4186555" cy="4231640"/>
            <wp:effectExtent l="0" t="0" r="4445" b="1016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widowControl w:val="0"/>
        <w:numPr>
          <w:ilvl w:val="0"/>
          <w:numId w:val="0"/>
        </w:numPr>
        <w:spacing w:line="240" w:lineRule="atLeast"/>
      </w:pPr>
    </w:p>
    <w:p>
      <w:pPr>
        <w:pStyle w:val="55"/>
        <w:widowControl w:val="0"/>
        <w:numPr>
          <w:ilvl w:val="0"/>
          <w:numId w:val="0"/>
        </w:numPr>
        <w:spacing w:line="240" w:lineRule="atLeast"/>
        <w:rPr>
          <w:rFonts w:hint="default"/>
        </w:rPr>
      </w:pPr>
    </w:p>
    <w:p>
      <w:pPr>
        <w:pStyle w:val="3"/>
        <w:rPr>
          <w:rFonts w:hint="default"/>
          <w:lang w:eastAsia="zh-CN"/>
        </w:rPr>
      </w:pPr>
      <w:bookmarkStart w:id="7" w:name="_Toc1853990617"/>
      <w:r>
        <w:rPr>
          <w:rFonts w:hint="default"/>
        </w:rPr>
        <w:t>添加“价格/即时库存”设置功能</w:t>
      </w:r>
      <w:bookmarkEnd w:id="7"/>
    </w:p>
    <w:p>
      <w:pPr>
        <w:pStyle w:val="55"/>
        <w:numPr>
          <w:ilvl w:val="0"/>
          <w:numId w:val="2"/>
        </w:numPr>
        <w:ind w:firstLineChars="0"/>
        <w:rPr>
          <w:rFonts w:hint="default"/>
          <w:b w:val="0"/>
          <w:bCs/>
          <w:sz w:val="28"/>
          <w:szCs w:val="28"/>
        </w:rPr>
      </w:pPr>
      <w:r>
        <w:rPr>
          <w:rFonts w:hint="eastAsia"/>
          <w:b/>
          <w:sz w:val="24"/>
          <w:szCs w:val="24"/>
        </w:rPr>
        <w:t>设计规范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【一手商品助手】在售商品列表下，添加“改价格/库存”的功能入口按钮，点击进入对应页面（新功能页面）；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/>
          <w:bCs w:val="0"/>
          <w:sz w:val="28"/>
          <w:szCs w:val="28"/>
        </w:rPr>
      </w:pPr>
      <w:r>
        <w:rPr>
          <w:rFonts w:hint="default"/>
          <w:b/>
          <w:bCs w:val="0"/>
          <w:sz w:val="28"/>
          <w:szCs w:val="28"/>
        </w:rPr>
        <w:t>价格信息：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①“正价”或“特价”，根据【商品库】商品编辑里的“商品类型”，若商品类型为“无”，爆版则为“正价”。若商品类型为“特价”，爆版则为“特价”。爆版和商品库相互影响；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②若为“正价”，则可修改“拿货价”（折扣拿货价不显示）。若为“特价”，则“拿货价”下面出现“折扣拿货价”供填写，原“拿货价”未只读状态不可修改；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③触发将正价改为特价时，“正价拿货价”需要保持为当前商品库里的“拿货价”；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④拿货价或是折扣拿货价，修改范围均不可以大于当前的“正价拿货价”，修改下限不能小于“正价拿货价”的1折。举例：拿货价为50元，改价范围为5~14.99元；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/>
          <w:bCs w:val="0"/>
          <w:sz w:val="28"/>
          <w:szCs w:val="28"/>
        </w:rPr>
      </w:pPr>
      <w:r>
        <w:rPr>
          <w:rFonts w:hint="default"/>
          <w:b/>
          <w:bCs w:val="0"/>
          <w:sz w:val="28"/>
          <w:szCs w:val="28"/>
        </w:rPr>
        <w:t>库存信息：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①“预售库存”的数据实时读取商城后台【商品库】的“SKU库存数量”：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/>
          <w:bCs w:val="0"/>
          <w:sz w:val="28"/>
          <w:szCs w:val="28"/>
        </w:rPr>
      </w:pPr>
      <w:r>
        <w:rPr>
          <w:rFonts w:hint="default"/>
          <w:b/>
          <w:bCs w:val="0"/>
          <w:sz w:val="28"/>
          <w:szCs w:val="28"/>
        </w:rPr>
        <w:t>开售模式为“正价”时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【商品库】的里的“当前库存”就等于爆版的“预售库存”；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/>
          <w:bCs w:val="0"/>
          <w:sz w:val="28"/>
          <w:szCs w:val="28"/>
        </w:rPr>
      </w:pPr>
      <w:r>
        <w:rPr>
          <w:rFonts w:hint="default"/>
          <w:b/>
          <w:bCs w:val="0"/>
          <w:sz w:val="28"/>
          <w:szCs w:val="28"/>
        </w:rPr>
        <w:t>开售模式为“特价”时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a.【商品库】的预售（预设）库存类型为“预售模式”（后台告知类型），则爆版上的“预售库存”显示为0；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b.若【商品库】的预售（预设）库存类型为“即时库存模式”（后台告知类型），则爆版上的“预售库存”=商品库的“当前库存”；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②爆版“预售库存”设置里，只显示“启用”状态的SKU；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③点击“更新库存”的输入框时，自动获取焦点并调出数字键盘（输入框必须自动位于键盘之上）。库存设置的录入范围为9999；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④点击确定提交时，将“更新库存”（若有填写）的数量更新爆版的“预售库存”及商品库的“预售（预设）库存”，若某SKU被填入的数量为500，则自动按499更新同步；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⑤“当开售模式为“特价”时，至少需要有一个库存数量不为0的SKU，否则提交时提示“特价商品需要设置预售库存”；</w:t>
      </w:r>
    </w:p>
    <w:p>
      <w:pPr>
        <w:pStyle w:val="55"/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55"/>
        <w:numPr>
          <w:ilvl w:val="0"/>
          <w:numId w:val="2"/>
        </w:numPr>
        <w:ind w:firstLineChars="0"/>
        <w:rPr>
          <w:rFonts w:hint="eastAsia"/>
          <w:b/>
          <w:sz w:val="24"/>
          <w:szCs w:val="24"/>
        </w:rPr>
      </w:pPr>
      <w:r>
        <w:rPr>
          <w:rFonts w:hint="default"/>
          <w:b/>
          <w:sz w:val="24"/>
          <w:szCs w:val="24"/>
        </w:rPr>
        <w:t>原型</w:t>
      </w:r>
    </w:p>
    <w:p>
      <w:pPr>
        <w:rPr>
          <w:rFonts w:hint="default"/>
          <w:b/>
          <w:sz w:val="24"/>
          <w:szCs w:val="24"/>
        </w:rPr>
      </w:pPr>
      <w:r>
        <w:rPr>
          <w:rFonts w:hint="default"/>
          <w:b/>
          <w:sz w:val="24"/>
          <w:szCs w:val="24"/>
        </w:rPr>
        <w:t>“【改价格/库存】页面</w:t>
      </w:r>
    </w:p>
    <w:p>
      <w:pPr>
        <w:pStyle w:val="55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707130" cy="3719830"/>
            <wp:effectExtent l="0" t="0" r="1270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  <w:ind w:leftChars="0"/>
      </w:pPr>
    </w:p>
    <w:p>
      <w:pPr>
        <w:pStyle w:val="3"/>
        <w:rPr>
          <w:rFonts w:hint="default"/>
          <w:lang w:eastAsia="zh-CN"/>
        </w:rPr>
      </w:pPr>
      <w:bookmarkStart w:id="8" w:name="_Toc32581949"/>
      <w:r>
        <w:rPr>
          <w:rFonts w:hint="default"/>
        </w:rPr>
        <w:t>商城后台新增【供应商改价日志】</w:t>
      </w:r>
      <w:bookmarkEnd w:id="8"/>
    </w:p>
    <w:p>
      <w:pPr>
        <w:pStyle w:val="55"/>
        <w:numPr>
          <w:ilvl w:val="0"/>
          <w:numId w:val="2"/>
        </w:numPr>
        <w:ind w:firstLineChars="0"/>
        <w:rPr>
          <w:rFonts w:hint="default"/>
          <w:b w:val="0"/>
          <w:bCs/>
          <w:sz w:val="28"/>
          <w:szCs w:val="28"/>
        </w:rPr>
      </w:pPr>
      <w:r>
        <w:rPr>
          <w:rFonts w:hint="eastAsia"/>
          <w:b/>
          <w:sz w:val="24"/>
          <w:szCs w:val="24"/>
        </w:rPr>
        <w:t>设计规范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商城后台新增【供应商改价日志】，列表路径建立于商城后台/商品管理里面作为二级列表并在“修改商品信息申请”下面；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爆版每一次提交“价格修改”，列表都记录下来。列表已“款”的维度记录下价格修改前后的讯息和修改人（爆版账号名称）以及时间；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列表可以可以导出Excel，表头与列表一致；</w:t>
      </w:r>
    </w:p>
    <w:p>
      <w:pPr>
        <w:pStyle w:val="55"/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55"/>
        <w:numPr>
          <w:ilvl w:val="0"/>
          <w:numId w:val="2"/>
        </w:numPr>
        <w:ind w:firstLineChars="0"/>
        <w:rPr>
          <w:rFonts w:hint="eastAsia"/>
          <w:b/>
          <w:sz w:val="24"/>
          <w:szCs w:val="24"/>
        </w:rPr>
      </w:pPr>
      <w:r>
        <w:rPr>
          <w:rFonts w:hint="default"/>
          <w:b/>
          <w:sz w:val="24"/>
          <w:szCs w:val="24"/>
        </w:rPr>
        <w:t>原型</w:t>
      </w:r>
    </w:p>
    <w:p>
      <w:pPr>
        <w:pStyle w:val="55"/>
        <w:numPr>
          <w:ilvl w:val="0"/>
          <w:numId w:val="0"/>
        </w:numPr>
        <w:ind w:leftChars="0"/>
        <w:rPr>
          <w:rFonts w:hint="default"/>
          <w:b/>
          <w:sz w:val="24"/>
          <w:szCs w:val="24"/>
        </w:rPr>
      </w:pPr>
      <w:r>
        <w:rPr>
          <w:rFonts w:hint="default"/>
          <w:b/>
          <w:sz w:val="24"/>
          <w:szCs w:val="24"/>
        </w:rPr>
        <w:t>“【供应商改价日志】列表</w:t>
      </w:r>
    </w:p>
    <w:p>
      <w:pPr>
        <w:pStyle w:val="55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851650" cy="2133600"/>
            <wp:effectExtent l="0" t="0" r="635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  <w:ind w:leftChars="0"/>
      </w:pPr>
    </w:p>
    <w:p>
      <w:pPr>
        <w:pStyle w:val="55"/>
        <w:numPr>
          <w:ilvl w:val="0"/>
          <w:numId w:val="0"/>
        </w:numPr>
        <w:ind w:leftChars="0"/>
      </w:pPr>
    </w:p>
    <w:p>
      <w:pPr>
        <w:pStyle w:val="3"/>
        <w:rPr>
          <w:rFonts w:hint="default"/>
          <w:lang w:eastAsia="zh-CN"/>
        </w:rPr>
      </w:pPr>
      <w:bookmarkStart w:id="9" w:name="_Toc2143970505"/>
      <w:r>
        <w:rPr>
          <w:rFonts w:hint="default"/>
        </w:rPr>
        <w:t>爆版-自主上款内容添加及交互优化</w:t>
      </w:r>
      <w:bookmarkEnd w:id="9"/>
    </w:p>
    <w:p>
      <w:pPr>
        <w:pStyle w:val="55"/>
        <w:numPr>
          <w:ilvl w:val="0"/>
          <w:numId w:val="2"/>
        </w:numPr>
        <w:ind w:firstLineChars="0"/>
        <w:rPr>
          <w:rFonts w:hint="default"/>
          <w:b w:val="0"/>
          <w:bCs/>
          <w:sz w:val="28"/>
          <w:szCs w:val="28"/>
        </w:rPr>
      </w:pPr>
      <w:r>
        <w:rPr>
          <w:rFonts w:hint="eastAsia"/>
          <w:b/>
          <w:sz w:val="24"/>
          <w:szCs w:val="24"/>
        </w:rPr>
        <w:t>设计规范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爆版商品【新增商品】页面里新增“一手上款教程”按钮，点击进入【教程】页面（新功能页）；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①只有开通了绑定了爆版的供应商店铺并且开通了“自主上款”功能的，才显示入口；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②【教程】页面里有两个“教程”入口，“视频教程”和“教程文档”，点击“视频”开始视频播放（俊行做个链接配置视频）。点击“文档”（俊行做个链接配置文档）打开文档页面；</w:t>
      </w:r>
    </w:p>
    <w:p>
      <w:pPr>
        <w:pStyle w:val="55"/>
        <w:numPr>
          <w:ilvl w:val="0"/>
          <w:numId w:val="0"/>
        </w:numPr>
        <w:ind w:leftChars="600"/>
        <w:rPr>
          <w:rFonts w:hint="default"/>
          <w:b w:val="0"/>
          <w:bCs/>
          <w:sz w:val="28"/>
          <w:szCs w:val="28"/>
        </w:rPr>
      </w:pPr>
      <w:r>
        <w:drawing>
          <wp:inline distT="0" distB="0" distL="114300" distR="114300">
            <wp:extent cx="4699000" cy="3699510"/>
            <wp:effectExtent l="0" t="0" r="0" b="8890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  <w:rPr>
          <w:rFonts w:hint="default"/>
          <w:b w:val="0"/>
          <w:bCs/>
          <w:sz w:val="28"/>
          <w:szCs w:val="28"/>
        </w:rPr>
      </w:pPr>
    </w:p>
    <w:p>
      <w:pPr>
        <w:pStyle w:val="55"/>
        <w:numPr>
          <w:ilvl w:val="0"/>
          <w:numId w:val="0"/>
        </w:numPr>
        <w:rPr>
          <w:rFonts w:hint="default"/>
          <w:b w:val="0"/>
          <w:bCs/>
          <w:sz w:val="28"/>
          <w:szCs w:val="28"/>
        </w:rPr>
      </w:pP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爆版【一手上款】页面上的“面料、配件、尺码偏差”项目需按原型更换位置（往下移了）；</w:t>
      </w:r>
    </w:p>
    <w:p>
      <w:pPr>
        <w:pStyle w:val="55"/>
        <w:numPr>
          <w:ilvl w:val="0"/>
          <w:numId w:val="3"/>
        </w:numPr>
        <w:ind w:leftChars="40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对“类目”的选择后，需要根据“三级类目”的选项，判断是否需要，以及需要显示什么附加填写内容，判断如下：</w:t>
      </w:r>
    </w:p>
    <w:p>
      <w:pPr>
        <w:pStyle w:val="55"/>
        <w:numPr>
          <w:ilvl w:val="0"/>
          <w:numId w:val="0"/>
        </w:numPr>
      </w:pPr>
      <w:r>
        <w:drawing>
          <wp:inline distT="0" distB="0" distL="114300" distR="114300">
            <wp:extent cx="5662295" cy="2291715"/>
            <wp:effectExtent l="0" t="0" r="1905" b="1968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若有附加内容，在“三级类目”下显示对应填写/选择项目；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三级分类为“套装”时，显示出“套装搭配”的必填项，录入字数不能超过20字（能录入中文，数字及符号）。提交后，将出现在商品库编辑的底部“自定义拼接内容”的最后一个输入框内；</w:t>
      </w:r>
    </w:p>
    <w:p>
      <w:pPr>
        <w:pStyle w:val="55"/>
        <w:numPr>
          <w:ilvl w:val="0"/>
          <w:numId w:val="0"/>
        </w:numPr>
      </w:pPr>
      <w:r>
        <w:drawing>
          <wp:inline distT="0" distB="0" distL="114300" distR="114300">
            <wp:extent cx="6856095" cy="2544445"/>
            <wp:effectExtent l="0" t="0" r="1905" b="20955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</w:pPr>
    </w:p>
    <w:p>
      <w:pPr>
        <w:pStyle w:val="55"/>
        <w:numPr>
          <w:ilvl w:val="0"/>
          <w:numId w:val="0"/>
        </w:numPr>
        <w:rPr>
          <w:rFonts w:hint="default"/>
        </w:rPr>
      </w:pP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“羽绒服”的单选项需读取后台商品库（爆版无需提供“无”的选项），选项数据提交后，审核进入商品库编辑页面时，自动选中对应选项；</w:t>
      </w:r>
    </w:p>
    <w:p>
      <w:pPr>
        <w:pStyle w:val="55"/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838950" cy="2654935"/>
            <wp:effectExtent l="0" t="0" r="19050" b="1206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  <w:rPr>
          <w:rFonts w:hint="default"/>
          <w:bdr w:val="single" w:sz="4" w:space="0"/>
        </w:rPr>
      </w:pP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“面料”从当前的“填写录入”改为“选择”，点击进入【面料】页面；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【面料】里，根据“三级分类”列出对应的top20个（前端写死）热门面料（具体的“分类面料关系图”见文档附件）；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点击热门面料后出现在“已选面料”区域；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点击“搜索面料”进入【搜索】页面，并自动获取焦点同时调出中文输入键盘；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【搜索】页面支持模式搜索，对象为商城后台的“面料库”，与搜索条件相符的关键字需要“蓝色”显示，点击选中后自动返回上一页面并添加至“已选面料区”；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【搜索】页面内，点击“直接使用这个面料名称”按钮后，自动返回上一页面同时将刚刚搜索框内的内容带到“已选面料区”。若搜索框为“空”则提示“请填写需自定义的面料名称”；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“已选面料”区域里，无论通过什么方式添加的，都需要去重。点击已选项的“X”可删除选择；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“已选面料”区域里，无论通过什么方式添加的，都需要去重。点击已选项的“叉叉”可删除选择；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【面料】页面点击“确定”，更新数据同时回到【上款】页面；</w:t>
      </w:r>
    </w:p>
    <w:p>
      <w:pPr>
        <w:pStyle w:val="55"/>
        <w:numPr>
          <w:ilvl w:val="0"/>
          <w:numId w:val="0"/>
        </w:numPr>
      </w:pPr>
      <w:r>
        <w:drawing>
          <wp:inline distT="0" distB="0" distL="114300" distR="114300">
            <wp:extent cx="6854190" cy="3756660"/>
            <wp:effectExtent l="0" t="0" r="3810" b="254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</w:pP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sz w:val="28"/>
          <w:szCs w:val="28"/>
        </w:rPr>
      </w:pPr>
      <w:r>
        <w:rPr>
          <w:sz w:val="28"/>
          <w:szCs w:val="28"/>
        </w:rPr>
        <w:t>面料提交后，在商城后台【上款审核】进入的商品编辑里，显示在“面料说明”里；</w:t>
      </w:r>
    </w:p>
    <w:p>
      <w:pPr>
        <w:pStyle w:val="55"/>
        <w:numPr>
          <w:ilvl w:val="0"/>
          <w:numId w:val="0"/>
        </w:numPr>
      </w:pPr>
      <w:r>
        <w:rPr>
          <w:bdr w:val="single" w:sz="4" w:space="0"/>
        </w:rPr>
        <w:drawing>
          <wp:inline distT="0" distB="0" distL="114300" distR="114300">
            <wp:extent cx="6857365" cy="1407160"/>
            <wp:effectExtent l="0" t="0" r="635" b="1524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</w:pPr>
    </w:p>
    <w:p>
      <w:pPr>
        <w:pStyle w:val="55"/>
        <w:numPr>
          <w:ilvl w:val="0"/>
          <w:numId w:val="0"/>
        </w:numPr>
      </w:pPr>
    </w:p>
    <w:p>
      <w:pPr>
        <w:pStyle w:val="55"/>
        <w:numPr>
          <w:ilvl w:val="0"/>
          <w:numId w:val="0"/>
        </w:numPr>
      </w:pP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“配件”字段的录入方式改为“选择”，点击进入【配件】页面（新页面）；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【配件】页面里显示出10项热门备选项（前端写死即可），点击则将之添加到“已选配件”区里（可多选）；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点击“自定义”输入框，获取焦点同时调出中文键盘，点击右侧的“使用自定义配件”按钮，将输入框内的字段添加至“已选配件”区里。若输入框为“空”则提示“请填写需自定义的配件名称”；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“已选配件”区域里，无论通过什么方式添加的，都需要去重。点击已选项的“叉叉”可删除选择；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【配件】页面点击“确定”，更新数据同时回到【上款】页面；</w:t>
      </w:r>
    </w:p>
    <w:p>
      <w:pPr>
        <w:pStyle w:val="55"/>
        <w:numPr>
          <w:ilvl w:val="0"/>
          <w:numId w:val="0"/>
        </w:numP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4655185" cy="3903345"/>
            <wp:effectExtent l="0" t="0" r="18415" b="825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90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</w:pP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</w:pPr>
      <w: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  <w:t>当“配件”字段了含有“毛领”，下方需要显示出三个必填项目：</w:t>
      </w:r>
    </w:p>
    <w:p>
      <w:pPr>
        <w:pStyle w:val="55"/>
        <w:numPr>
          <w:ilvl w:val="0"/>
          <w:numId w:val="0"/>
        </w:numPr>
        <w:ind w:leftChars="600"/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</w:pPr>
      <w: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  <w:t>①毛料名称——点击获取焦点同时调出中文键盘，最多能支持20个字（包括符号）；</w:t>
      </w:r>
    </w:p>
    <w:p>
      <w:pPr>
        <w:pStyle w:val="55"/>
        <w:numPr>
          <w:ilvl w:val="0"/>
          <w:numId w:val="0"/>
        </w:numPr>
        <w:ind w:leftChars="600"/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</w:pPr>
      <w: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  <w:t>②毛料属性——点击后从底部弹出单选选择器，选项为“真毛”和“仿毛”；</w:t>
      </w:r>
    </w:p>
    <w:p>
      <w:pPr>
        <w:pStyle w:val="55"/>
        <w:numPr>
          <w:ilvl w:val="0"/>
          <w:numId w:val="0"/>
        </w:numPr>
        <w:ind w:leftChars="600"/>
        <w:rPr>
          <w:rFonts w:hint="default" w:ascii="宋体-简" w:hAnsi="宋体-简" w:eastAsia="宋体-简" w:cs="宋体-简"/>
          <w:b w:val="0"/>
          <w:bCs w:val="0"/>
          <w:sz w:val="28"/>
          <w:szCs w:val="28"/>
        </w:rPr>
      </w:pPr>
      <w:r>
        <w:rPr>
          <w:rFonts w:hint="default" w:ascii="宋体-简" w:hAnsi="宋体-简" w:eastAsia="宋体-简" w:cs="宋体-简"/>
          <w:b w:val="0"/>
          <w:bCs w:val="0"/>
          <w:sz w:val="28"/>
          <w:szCs w:val="28"/>
        </w:rPr>
        <w:t>③是否可拆卸——</w:t>
      </w:r>
      <w: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  <w:t>点击后从底部弹出单选选择器，选项为“</w:t>
      </w:r>
      <w:r>
        <w:rPr>
          <w:rFonts w:hint="default" w:ascii="宋体-简" w:hAnsi="宋体-简" w:eastAsia="宋体-简" w:cs="宋体-简"/>
          <w:b w:val="0"/>
          <w:bCs w:val="0"/>
          <w:sz w:val="28"/>
          <w:szCs w:val="28"/>
        </w:rPr>
        <w:t>可拆卸</w:t>
      </w:r>
      <w: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  <w:t>”和“</w:t>
      </w:r>
      <w:r>
        <w:rPr>
          <w:rFonts w:hint="default" w:ascii="宋体-简" w:hAnsi="宋体-简" w:eastAsia="宋体-简" w:cs="宋体-简"/>
          <w:b w:val="0"/>
          <w:bCs w:val="0"/>
          <w:sz w:val="28"/>
          <w:szCs w:val="28"/>
        </w:rPr>
        <w:t>不可拆卸</w:t>
      </w:r>
      <w: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  <w:t>”</w:t>
      </w:r>
      <w:r>
        <w:rPr>
          <w:rFonts w:hint="default" w:ascii="宋体-简" w:hAnsi="宋体-简" w:eastAsia="宋体-简" w:cs="宋体-简"/>
          <w:b w:val="0"/>
          <w:bCs w:val="0"/>
          <w:sz w:val="28"/>
          <w:szCs w:val="28"/>
        </w:rPr>
        <w:t>；</w:t>
      </w:r>
    </w:p>
    <w:p>
      <w:pPr>
        <w:pStyle w:val="55"/>
        <w:numPr>
          <w:ilvl w:val="0"/>
          <w:numId w:val="0"/>
        </w:numPr>
        <w:ind w:leftChars="600"/>
      </w:pPr>
      <w:r>
        <w:drawing>
          <wp:inline distT="0" distB="0" distL="114300" distR="114300">
            <wp:extent cx="3249295" cy="2607310"/>
            <wp:effectExtent l="0" t="0" r="1905" b="889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  <w:ind w:leftChars="600"/>
      </w:pPr>
    </w:p>
    <w:p>
      <w:pPr>
        <w:pStyle w:val="55"/>
        <w:numPr>
          <w:ilvl w:val="0"/>
          <w:numId w:val="0"/>
        </w:numPr>
        <w:ind w:leftChars="600"/>
      </w:pP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</w:pPr>
      <w: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  <w:t>及提交后，在商品库对应展示在“配件”项</w:t>
      </w:r>
      <w:r>
        <w:rPr>
          <w:rFonts w:hint="default" w:ascii="宋体-简" w:hAnsi="宋体-简" w:eastAsia="宋体-简" w:cs="宋体-简"/>
          <w:b w:val="0"/>
          <w:bCs w:val="0"/>
          <w:sz w:val="28"/>
          <w:szCs w:val="28"/>
        </w:rPr>
        <w:t>里按一下逻辑</w:t>
      </w:r>
      <w: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  <w:t>显示</w:t>
      </w:r>
      <w:r>
        <w:rPr>
          <w:rFonts w:hint="default" w:ascii="宋体-简" w:hAnsi="宋体-简" w:eastAsia="宋体-简" w:cs="宋体-简"/>
          <w:b w:val="0"/>
          <w:bCs w:val="0"/>
          <w:sz w:val="28"/>
          <w:szCs w:val="28"/>
        </w:rPr>
        <w:t>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-简" w:hAnsi="宋体-简" w:eastAsia="宋体-简" w:cs="宋体-简"/>
          <w:i w:val="0"/>
          <w:caps w:val="0"/>
          <w:snapToGrid w:val="0"/>
          <w:color w:val="111F2C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  <w:t>①若配件内含“毛领”，拼接方式为：</w:t>
      </w:r>
      <w:r>
        <w:rPr>
          <w:rFonts w:hint="eastAsia" w:ascii="宋体-简" w:hAnsi="宋体-简" w:eastAsia="宋体-简" w:cs="宋体-简"/>
          <w:i w:val="0"/>
          <w:caps w:val="0"/>
          <w:snapToGrid w:val="0"/>
          <w:color w:val="111F2C"/>
          <w:spacing w:val="0"/>
          <w:kern w:val="0"/>
          <w:sz w:val="28"/>
          <w:szCs w:val="28"/>
          <w:shd w:val="clear" w:fill="FFFFFF"/>
          <w:lang w:val="en-US" w:eastAsia="zh-CN" w:bidi="ar"/>
        </w:rPr>
        <w:t>拆卸情况+真/假+毛料+毛领</w:t>
      </w:r>
      <w:r>
        <w:rPr>
          <w:rFonts w:hint="eastAsia" w:ascii="宋体-简" w:hAnsi="宋体-简" w:eastAsia="宋体-简" w:cs="宋体-简"/>
          <w:i w:val="0"/>
          <w:caps w:val="0"/>
          <w:snapToGrid w:val="0"/>
          <w:color w:val="111F2C"/>
          <w:spacing w:val="0"/>
          <w:kern w:val="0"/>
          <w:sz w:val="28"/>
          <w:szCs w:val="28"/>
          <w:shd w:val="clear" w:fill="FFFFFF"/>
          <w:lang w:eastAsia="zh-CN" w:bidi="ar"/>
        </w:rPr>
        <w:t>+“逗号”+其他配件名称</w:t>
      </w:r>
      <w:r>
        <w:rPr>
          <w:rFonts w:hint="eastAsia" w:ascii="宋体-简" w:hAnsi="宋体-简" w:eastAsia="宋体-简" w:cs="宋体-简"/>
          <w:i w:val="0"/>
          <w:caps w:val="0"/>
          <w:snapToGrid w:val="0"/>
          <w:color w:val="111F2C"/>
          <w:spacing w:val="0"/>
          <w:kern w:val="0"/>
          <w:sz w:val="28"/>
          <w:szCs w:val="28"/>
          <w:shd w:val="clear" w:fill="FFFFFF"/>
          <w:lang w:val="en-US" w:eastAsia="zh-CN" w:bidi="ar"/>
        </w:rPr>
        <w:t>”</w:t>
      </w:r>
      <w:r>
        <w:rPr>
          <w:rFonts w:hint="default" w:ascii="宋体-简" w:hAnsi="宋体-简" w:eastAsia="宋体-简" w:cs="宋体-简"/>
          <w:i w:val="0"/>
          <w:caps w:val="0"/>
          <w:snapToGrid w:val="0"/>
          <w:color w:val="111F2C"/>
          <w:spacing w:val="0"/>
          <w:kern w:val="0"/>
          <w:sz w:val="28"/>
          <w:szCs w:val="28"/>
          <w:shd w:val="clear" w:fill="FFFFFF"/>
          <w:lang w:eastAsia="zh-CN" w:bidi="ar"/>
        </w:rPr>
        <w:t>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-简" w:hAnsi="宋体-简" w:eastAsia="宋体-简" w:cs="宋体-简"/>
          <w:i w:val="0"/>
          <w:caps w:val="0"/>
          <w:snapToGrid w:val="0"/>
          <w:color w:val="111F2C"/>
          <w:spacing w:val="0"/>
          <w:kern w:val="0"/>
          <w:sz w:val="28"/>
          <w:szCs w:val="28"/>
          <w:shd w:val="clear" w:fill="FFFFFF"/>
          <w:lang w:eastAsia="zh-CN" w:bidi="ar"/>
        </w:rPr>
      </w:pPr>
      <w:r>
        <w:rPr>
          <w:rFonts w:hint="eastAsia" w:ascii="宋体-简" w:hAnsi="宋体-简" w:eastAsia="宋体-简" w:cs="宋体-简"/>
          <w:i w:val="0"/>
          <w:caps w:val="0"/>
          <w:snapToGrid w:val="0"/>
          <w:color w:val="111F2C"/>
          <w:spacing w:val="0"/>
          <w:kern w:val="0"/>
          <w:sz w:val="28"/>
          <w:szCs w:val="28"/>
          <w:shd w:val="clear" w:fill="FFFFFF"/>
          <w:lang w:eastAsia="zh-CN" w:bidi="ar"/>
        </w:rPr>
        <w:t>②非“毛领”的，直接显示所有配件，中间用逗号隔开；</w:t>
      </w:r>
    </w:p>
    <w:p>
      <w:pPr>
        <w:pStyle w:val="55"/>
        <w:numPr>
          <w:ilvl w:val="0"/>
          <w:numId w:val="0"/>
        </w:numPr>
        <w:rPr>
          <w:rFonts w:hint="eastAsia" w:ascii="宋体-简" w:hAnsi="宋体-简" w:eastAsia="宋体-简" w:cs="宋体-简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6849110" cy="1713865"/>
            <wp:effectExtent l="0" t="0" r="8890" b="13335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  <w:ind w:leftChars="600"/>
      </w:pPr>
    </w:p>
    <w:p>
      <w:pPr>
        <w:pStyle w:val="55"/>
        <w:numPr>
          <w:ilvl w:val="0"/>
          <w:numId w:val="0"/>
        </w:numPr>
        <w:ind w:leftChars="600"/>
      </w:pP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sz w:val="28"/>
          <w:szCs w:val="28"/>
        </w:rPr>
      </w:pPr>
      <w:r>
        <w:rPr>
          <w:sz w:val="28"/>
          <w:szCs w:val="28"/>
        </w:rPr>
        <w:t>尺码信息里，将原本的“尺寸模型”项目隐藏掉（暂时不用）。取而代之的是新增的“最大可穿”必填项目；</w:t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eastAsia"/>
          <w:sz w:val="28"/>
          <w:szCs w:val="28"/>
        </w:rPr>
      </w:pPr>
      <w:r>
        <w:rPr>
          <w:rFonts w:hint="default"/>
          <w:sz w:val="28"/>
          <w:szCs w:val="28"/>
        </w:rPr>
        <w:t>当上面商品类目里的一级分类选择为“女装、男装、童装”是，才会出现“最大可穿”项目，项目里，显示出改款已选择的码数信息，每个尺码对应一个输入框，点击获取焦点通知调出数字键盘；</w:t>
      </w:r>
    </w:p>
    <w:p>
      <w:pPr>
        <w:pStyle w:val="55"/>
        <w:numPr>
          <w:ilvl w:val="0"/>
          <w:numId w:val="0"/>
        </w:num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6854825" cy="2488565"/>
            <wp:effectExtent l="0" t="0" r="3175" b="63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eastAsia"/>
          <w:sz w:val="28"/>
          <w:szCs w:val="28"/>
        </w:rPr>
      </w:pPr>
      <w:r>
        <w:rPr>
          <w:rFonts w:hint="default"/>
          <w:sz w:val="28"/>
          <w:szCs w:val="28"/>
        </w:rPr>
        <w:t>提交后，后台【上款申请】进入的商品编辑里呈现“选码参考”表格内（自动填上）；</w:t>
      </w:r>
    </w:p>
    <w:p>
      <w:pPr>
        <w:pStyle w:val="55"/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6854190" cy="1911350"/>
            <wp:effectExtent l="0" t="0" r="3810" b="1905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numPr>
          <w:ilvl w:val="0"/>
          <w:numId w:val="0"/>
        </w:numPr>
        <w:rPr>
          <w:bdr w:val="single" w:sz="4" w:space="0"/>
        </w:rPr>
      </w:pPr>
    </w:p>
    <w:p>
      <w:pPr>
        <w:pStyle w:val="55"/>
        <w:numPr>
          <w:ilvl w:val="0"/>
          <w:numId w:val="3"/>
        </w:numPr>
        <w:ind w:left="840" w:leftChars="400" w:firstLine="560" w:firstLineChars="20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提交后，后台【上款申请】进入的商品编辑里呈现“选码参考”表格内（自动填上）；</w:t>
      </w:r>
    </w:p>
    <w:p>
      <w:pPr>
        <w:pStyle w:val="55"/>
        <w:widowControl w:val="0"/>
        <w:numPr>
          <w:ilvl w:val="0"/>
          <w:numId w:val="0"/>
        </w:numPr>
        <w:spacing w:line="240" w:lineRule="atLeast"/>
        <w:rPr>
          <w:rFonts w:hint="default"/>
          <w:sz w:val="28"/>
          <w:szCs w:val="28"/>
        </w:rPr>
      </w:pPr>
    </w:p>
    <w:p>
      <w:pPr>
        <w:pStyle w:val="3"/>
        <w:rPr>
          <w:rFonts w:hint="default"/>
          <w:lang w:eastAsia="zh-CN"/>
        </w:rPr>
      </w:pPr>
      <w:bookmarkStart w:id="10" w:name="_Toc1084164522"/>
      <w:r>
        <w:rPr>
          <w:rFonts w:hint="default"/>
        </w:rPr>
        <w:t>爆版-上款审核/完善商品资料被驳回新增功能按钮</w:t>
      </w:r>
      <w:bookmarkEnd w:id="10"/>
    </w:p>
    <w:p>
      <w:pPr>
        <w:pStyle w:val="55"/>
        <w:numPr>
          <w:ilvl w:val="0"/>
          <w:numId w:val="2"/>
        </w:numPr>
        <w:ind w:firstLineChars="0"/>
        <w:rPr>
          <w:rFonts w:hint="default"/>
          <w:b w:val="0"/>
          <w:bCs/>
          <w:sz w:val="28"/>
          <w:szCs w:val="28"/>
        </w:rPr>
      </w:pPr>
      <w:r>
        <w:rPr>
          <w:rFonts w:hint="eastAsia"/>
          <w:b/>
          <w:sz w:val="24"/>
          <w:szCs w:val="24"/>
        </w:rPr>
        <w:t>设计规范</w:t>
      </w:r>
    </w:p>
    <w:p>
      <w:pPr>
        <w:pStyle w:val="55"/>
        <w:numPr>
          <w:ilvl w:val="0"/>
          <w:numId w:val="4"/>
        </w:numPr>
        <w:ind w:leftChars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及自主上款或完善资料被驳回后，“被驳回”的标签改为按钮，点击直接进入该款的【一手上款记录详情】页面；</w:t>
      </w:r>
    </w:p>
    <w:p>
      <w:pPr>
        <w:pStyle w:val="55"/>
        <w:widowControl w:val="0"/>
        <w:numPr>
          <w:ilvl w:val="0"/>
          <w:numId w:val="0"/>
        </w:numPr>
        <w:spacing w:line="240" w:lineRule="atLeast"/>
        <w:rPr>
          <w:rFonts w:hint="default"/>
          <w:b w:val="0"/>
          <w:bCs/>
          <w:sz w:val="28"/>
          <w:szCs w:val="28"/>
        </w:rPr>
      </w:pPr>
      <w:r>
        <w:drawing>
          <wp:inline distT="0" distB="0" distL="114300" distR="114300">
            <wp:extent cx="4152900" cy="3719830"/>
            <wp:effectExtent l="0" t="0" r="12700" b="1397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widowControl w:val="0"/>
        <w:numPr>
          <w:ilvl w:val="0"/>
          <w:numId w:val="0"/>
        </w:numPr>
        <w:spacing w:line="240" w:lineRule="atLeast"/>
        <w:rPr>
          <w:rFonts w:hint="default"/>
          <w:b w:val="0"/>
          <w:bCs/>
          <w:sz w:val="28"/>
          <w:szCs w:val="28"/>
        </w:rPr>
      </w:pPr>
    </w:p>
    <w:p>
      <w:pPr>
        <w:pStyle w:val="55"/>
        <w:numPr>
          <w:ilvl w:val="0"/>
          <w:numId w:val="4"/>
        </w:numPr>
        <w:ind w:leftChars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爆版的【商品】页面，筛选功能里的添加“申请被驳回”的状态选项，用于对列表筛选出所有“自主上款或完善资料被驳”的款；</w:t>
      </w:r>
    </w:p>
    <w:p>
      <w:pPr>
        <w:pStyle w:val="55"/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4223385" cy="3736975"/>
            <wp:effectExtent l="0" t="0" r="18415" b="22225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720" w:right="720" w:bottom="720" w:left="720" w:header="720" w:footer="720" w:gutter="0"/>
      <w:cols w:space="720" w:num="1"/>
      <w:docGrid w:type="linesAndChars" w:linePitch="32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.pingfang 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兰亭黑-繁">
    <w:panose1 w:val="03000509000000000000"/>
    <w:charset w:val="88"/>
    <w:family w:val="auto"/>
    <w:pitch w:val="default"/>
    <w:sig w:usb0="00000001" w:usb1="080E0000" w:usb2="00000000" w:usb3="00000000" w:csb0="0010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华文黑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Brush Script MT">
    <w:panose1 w:val="03060802040406070304"/>
    <w:charset w:val="86"/>
    <w:family w:val="auto"/>
    <w:pitch w:val="default"/>
    <w:sig w:usb0="00000000" w:usb1="00000000" w:usb2="00000000" w:usb3="00000000" w:csb0="0025003A" w:csb1="002F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楷体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兰亭黑-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</w:font>
  <w:font w:name="凌慧体-简">
    <w:panose1 w:val="03050602040302020204"/>
    <w:charset w:val="86"/>
    <w:family w:val="auto"/>
    <w:pitch w:val="default"/>
    <w:sig w:usb0="A00002FF" w:usb1="7ACF7CFB" w:usb2="0000001E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凌慧体-繁">
    <w:panose1 w:val="03050602040302020204"/>
    <w:charset w:val="86"/>
    <w:family w:val="auto"/>
    <w:pitch w:val="default"/>
    <w:sig w:usb0="A00002FF" w:usb1="7ACFFCFB" w:usb2="0000001E" w:usb3="00000000" w:csb0="20140183" w:csb1="00000000"/>
  </w:font>
  <w:font w:name=".sf ns tex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翩翩体-繁">
    <w:panose1 w:val="03000300000000000000"/>
    <w:charset w:val="86"/>
    <w:family w:val="auto"/>
    <w:pitch w:val="default"/>
    <w:sig w:usb0="A00002FF" w:usb1="7ACF7CFB" w:usb2="00000016" w:usb3="00000000" w:csb0="00040001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DengXian Light">
    <w:altName w:val="汉仪中等线K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圆体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手札体-简">
    <w:panose1 w:val="03000500000000000000"/>
    <w:charset w:val="86"/>
    <w:family w:val="auto"/>
    <w:pitch w:val="default"/>
    <w:sig w:usb0="A00002FF" w:usb1="7ACF7CFB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F5AF6"/>
    <w:multiLevelType w:val="multilevel"/>
    <w:tmpl w:val="203F5AF6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 w:eastAsia="宋体"/>
        <w:b/>
        <w:i w:val="0"/>
        <w:sz w:val="44"/>
        <w:szCs w:val="44"/>
      </w:rPr>
    </w:lvl>
    <w:lvl w:ilvl="1" w:tentative="0">
      <w:start w:val="1"/>
      <w:numFmt w:val="decimal"/>
      <w:pStyle w:val="3"/>
      <w:lvlText w:val="%1.%2"/>
      <w:lvlJc w:val="left"/>
      <w:pPr>
        <w:ind w:left="425" w:hanging="425"/>
      </w:pPr>
      <w:rPr>
        <w:rFonts w:hint="eastAsia" w:eastAsia="宋体"/>
        <w:b/>
        <w:i w:val="0"/>
        <w:sz w:val="32"/>
        <w:szCs w:val="32"/>
      </w:rPr>
    </w:lvl>
    <w:lvl w:ilvl="2" w:tentative="0">
      <w:start w:val="1"/>
      <w:numFmt w:val="decimal"/>
      <w:pStyle w:val="4"/>
      <w:lvlText w:val="%1.%2.%3"/>
      <w:lvlJc w:val="left"/>
      <w:pPr>
        <w:ind w:left="425" w:hanging="425"/>
      </w:pPr>
      <w:rPr>
        <w:rFonts w:hint="eastAsia" w:eastAsia="宋体"/>
        <w:b/>
        <w:i w:val="0"/>
        <w:sz w:val="21"/>
      </w:rPr>
    </w:lvl>
    <w:lvl w:ilvl="3" w:tentative="0">
      <w:start w:val="1"/>
      <w:numFmt w:val="decimal"/>
      <w:pStyle w:val="5"/>
      <w:lvlText w:val="%1.%2.%3.%4"/>
      <w:lvlJc w:val="left"/>
      <w:pPr>
        <w:ind w:left="425" w:hanging="425"/>
      </w:pPr>
      <w:rPr>
        <w:rFonts w:hint="eastAsia" w:eastAsia="宋体"/>
        <w:b/>
        <w:i w:val="0"/>
        <w:sz w:val="21"/>
      </w:rPr>
    </w:lvl>
    <w:lvl w:ilvl="4" w:tentative="0">
      <w:start w:val="1"/>
      <w:numFmt w:val="decimal"/>
      <w:pStyle w:val="6"/>
      <w:lvlText w:val="%1.%2.%3.%4.%5"/>
      <w:lvlJc w:val="left"/>
      <w:pPr>
        <w:ind w:left="425" w:hanging="425"/>
      </w:pPr>
      <w:rPr>
        <w:rFonts w:hint="eastAsia" w:eastAsia="宋体"/>
        <w:b/>
        <w:i w:val="0"/>
        <w:sz w:val="21"/>
      </w:rPr>
    </w:lvl>
    <w:lvl w:ilvl="5" w:tentative="0">
      <w:start w:val="1"/>
      <w:numFmt w:val="decimal"/>
      <w:pStyle w:val="7"/>
      <w:lvlText w:val="%1.%2.%3.%4.%5.%6"/>
      <w:lvlJc w:val="left"/>
      <w:pPr>
        <w:ind w:left="425" w:hanging="425"/>
      </w:pPr>
      <w:rPr>
        <w:rFonts w:hint="eastAsia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kern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pStyle w:val="8"/>
      <w:lvlText w:val="%1.%2.%3.%4.%5.%6.%7"/>
      <w:lvlJc w:val="left"/>
      <w:pPr>
        <w:ind w:left="425" w:hanging="425"/>
      </w:pPr>
      <w:rPr>
        <w:rFonts w:hint="eastAsia" w:eastAsia="宋体"/>
        <w:b/>
        <w:i w:val="0"/>
        <w:sz w:val="21"/>
      </w:rPr>
    </w:lvl>
    <w:lvl w:ilvl="7" w:tentative="0">
      <w:start w:val="1"/>
      <w:numFmt w:val="decimal"/>
      <w:pStyle w:val="9"/>
      <w:lvlText w:val="%1.%2.%3.%4.%5.%6.%7.%8"/>
      <w:lvlJc w:val="left"/>
      <w:pPr>
        <w:ind w:left="425" w:hanging="425"/>
      </w:pPr>
      <w:rPr>
        <w:rFonts w:hint="eastAsia" w:eastAsia="宋体"/>
        <w:b/>
        <w:i w:val="0"/>
        <w:sz w:val="21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425" w:hanging="425"/>
      </w:pPr>
      <w:rPr>
        <w:rFonts w:hint="eastAsia" w:eastAsia="宋体"/>
        <w:b/>
        <w:i w:val="0"/>
        <w:sz w:val="21"/>
      </w:rPr>
    </w:lvl>
  </w:abstractNum>
  <w:abstractNum w:abstractNumId="1">
    <w:nsid w:val="2C090834"/>
    <w:multiLevelType w:val="multilevel"/>
    <w:tmpl w:val="2C09083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DF0B2C1"/>
    <w:multiLevelType w:val="singleLevel"/>
    <w:tmpl w:val="5DF0B2C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E7842B3"/>
    <w:multiLevelType w:val="singleLevel"/>
    <w:tmpl w:val="5E7842B3"/>
    <w:lvl w:ilvl="0" w:tentative="0">
      <w:start w:val="5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62F"/>
    <w:rsid w:val="000009C1"/>
    <w:rsid w:val="00007365"/>
    <w:rsid w:val="000121D2"/>
    <w:rsid w:val="00023977"/>
    <w:rsid w:val="00023A2E"/>
    <w:rsid w:val="000402DE"/>
    <w:rsid w:val="00054369"/>
    <w:rsid w:val="00060AFE"/>
    <w:rsid w:val="00061AD0"/>
    <w:rsid w:val="00063763"/>
    <w:rsid w:val="00075BBB"/>
    <w:rsid w:val="00095080"/>
    <w:rsid w:val="00096391"/>
    <w:rsid w:val="000A562F"/>
    <w:rsid w:val="000B7470"/>
    <w:rsid w:val="000C5AA9"/>
    <w:rsid w:val="000C7323"/>
    <w:rsid w:val="000D13C1"/>
    <w:rsid w:val="000D6E3D"/>
    <w:rsid w:val="000F674A"/>
    <w:rsid w:val="00104A15"/>
    <w:rsid w:val="00105BB9"/>
    <w:rsid w:val="001105ED"/>
    <w:rsid w:val="00123F5A"/>
    <w:rsid w:val="00127629"/>
    <w:rsid w:val="001433C0"/>
    <w:rsid w:val="00147505"/>
    <w:rsid w:val="00150850"/>
    <w:rsid w:val="00151B60"/>
    <w:rsid w:val="00161754"/>
    <w:rsid w:val="001709AB"/>
    <w:rsid w:val="001804B1"/>
    <w:rsid w:val="0018657D"/>
    <w:rsid w:val="00192449"/>
    <w:rsid w:val="001A2BE7"/>
    <w:rsid w:val="001A6BC5"/>
    <w:rsid w:val="001A7C8A"/>
    <w:rsid w:val="001B33BB"/>
    <w:rsid w:val="001B67BD"/>
    <w:rsid w:val="001B7033"/>
    <w:rsid w:val="001B7F13"/>
    <w:rsid w:val="001D2ADB"/>
    <w:rsid w:val="001D34A2"/>
    <w:rsid w:val="001E189D"/>
    <w:rsid w:val="001E3F61"/>
    <w:rsid w:val="001F7978"/>
    <w:rsid w:val="002030F5"/>
    <w:rsid w:val="00203DB2"/>
    <w:rsid w:val="00205D5E"/>
    <w:rsid w:val="0021319E"/>
    <w:rsid w:val="002242A5"/>
    <w:rsid w:val="002253ED"/>
    <w:rsid w:val="002327C7"/>
    <w:rsid w:val="00234E81"/>
    <w:rsid w:val="00247F4C"/>
    <w:rsid w:val="00256091"/>
    <w:rsid w:val="00257B13"/>
    <w:rsid w:val="00261859"/>
    <w:rsid w:val="00265035"/>
    <w:rsid w:val="00265AE0"/>
    <w:rsid w:val="00271374"/>
    <w:rsid w:val="002801C4"/>
    <w:rsid w:val="0029034E"/>
    <w:rsid w:val="00290794"/>
    <w:rsid w:val="00291183"/>
    <w:rsid w:val="002A3E56"/>
    <w:rsid w:val="002B584E"/>
    <w:rsid w:val="002C30D9"/>
    <w:rsid w:val="002C5C97"/>
    <w:rsid w:val="002D3254"/>
    <w:rsid w:val="002D32F1"/>
    <w:rsid w:val="002D4805"/>
    <w:rsid w:val="002E6D43"/>
    <w:rsid w:val="002F7007"/>
    <w:rsid w:val="002F72B2"/>
    <w:rsid w:val="0031027B"/>
    <w:rsid w:val="0031751A"/>
    <w:rsid w:val="00325798"/>
    <w:rsid w:val="00326C34"/>
    <w:rsid w:val="00335F0E"/>
    <w:rsid w:val="00343729"/>
    <w:rsid w:val="003452E6"/>
    <w:rsid w:val="003458C8"/>
    <w:rsid w:val="00364C4F"/>
    <w:rsid w:val="00375292"/>
    <w:rsid w:val="00380950"/>
    <w:rsid w:val="003816FE"/>
    <w:rsid w:val="00384291"/>
    <w:rsid w:val="0038737C"/>
    <w:rsid w:val="00387415"/>
    <w:rsid w:val="00392A4E"/>
    <w:rsid w:val="0039466F"/>
    <w:rsid w:val="00397A87"/>
    <w:rsid w:val="003A13BE"/>
    <w:rsid w:val="003A4BE8"/>
    <w:rsid w:val="003A6049"/>
    <w:rsid w:val="003C076E"/>
    <w:rsid w:val="003C7DB2"/>
    <w:rsid w:val="003D2D88"/>
    <w:rsid w:val="003D3F34"/>
    <w:rsid w:val="003D6A7A"/>
    <w:rsid w:val="003E3E2F"/>
    <w:rsid w:val="003E7055"/>
    <w:rsid w:val="003E7B01"/>
    <w:rsid w:val="003F3A66"/>
    <w:rsid w:val="003F5961"/>
    <w:rsid w:val="003F6413"/>
    <w:rsid w:val="004000DC"/>
    <w:rsid w:val="00403DDC"/>
    <w:rsid w:val="0040710E"/>
    <w:rsid w:val="004078E2"/>
    <w:rsid w:val="00407F5F"/>
    <w:rsid w:val="00417FDE"/>
    <w:rsid w:val="00427BB5"/>
    <w:rsid w:val="00432AF5"/>
    <w:rsid w:val="00445ED5"/>
    <w:rsid w:val="0045054E"/>
    <w:rsid w:val="0045149E"/>
    <w:rsid w:val="0045787F"/>
    <w:rsid w:val="004609BE"/>
    <w:rsid w:val="00460DD2"/>
    <w:rsid w:val="0046710B"/>
    <w:rsid w:val="00471F4F"/>
    <w:rsid w:val="00486E75"/>
    <w:rsid w:val="00495D40"/>
    <w:rsid w:val="00496522"/>
    <w:rsid w:val="00496B78"/>
    <w:rsid w:val="004A265E"/>
    <w:rsid w:val="004A7099"/>
    <w:rsid w:val="004B2542"/>
    <w:rsid w:val="004C169E"/>
    <w:rsid w:val="004C346D"/>
    <w:rsid w:val="004C6108"/>
    <w:rsid w:val="004D5B5B"/>
    <w:rsid w:val="004F3E36"/>
    <w:rsid w:val="00500845"/>
    <w:rsid w:val="00530305"/>
    <w:rsid w:val="0053235B"/>
    <w:rsid w:val="005334A8"/>
    <w:rsid w:val="005423DB"/>
    <w:rsid w:val="0054307D"/>
    <w:rsid w:val="00547920"/>
    <w:rsid w:val="00551041"/>
    <w:rsid w:val="0055564A"/>
    <w:rsid w:val="00556D8A"/>
    <w:rsid w:val="005571CA"/>
    <w:rsid w:val="00560D1C"/>
    <w:rsid w:val="005842A3"/>
    <w:rsid w:val="00586DD8"/>
    <w:rsid w:val="005926FB"/>
    <w:rsid w:val="00597CFC"/>
    <w:rsid w:val="005A0165"/>
    <w:rsid w:val="005B1272"/>
    <w:rsid w:val="005B6E38"/>
    <w:rsid w:val="005C611E"/>
    <w:rsid w:val="005C739E"/>
    <w:rsid w:val="005E405F"/>
    <w:rsid w:val="005F0639"/>
    <w:rsid w:val="005F238A"/>
    <w:rsid w:val="00600131"/>
    <w:rsid w:val="00613DBF"/>
    <w:rsid w:val="00617B17"/>
    <w:rsid w:val="0062052C"/>
    <w:rsid w:val="00624E77"/>
    <w:rsid w:val="00632D47"/>
    <w:rsid w:val="00636D0E"/>
    <w:rsid w:val="00636F98"/>
    <w:rsid w:val="00640F65"/>
    <w:rsid w:val="00641DB2"/>
    <w:rsid w:val="00643F77"/>
    <w:rsid w:val="00645F96"/>
    <w:rsid w:val="00656858"/>
    <w:rsid w:val="006721BD"/>
    <w:rsid w:val="00676C3E"/>
    <w:rsid w:val="00677D63"/>
    <w:rsid w:val="006A2673"/>
    <w:rsid w:val="006A63CA"/>
    <w:rsid w:val="006B1A2C"/>
    <w:rsid w:val="006B7475"/>
    <w:rsid w:val="006D66FF"/>
    <w:rsid w:val="006E254B"/>
    <w:rsid w:val="006F6C8A"/>
    <w:rsid w:val="007219EB"/>
    <w:rsid w:val="007220BF"/>
    <w:rsid w:val="0072598F"/>
    <w:rsid w:val="00727C0F"/>
    <w:rsid w:val="00732986"/>
    <w:rsid w:val="00733A6A"/>
    <w:rsid w:val="007406A7"/>
    <w:rsid w:val="00741A11"/>
    <w:rsid w:val="00741CAF"/>
    <w:rsid w:val="0076191E"/>
    <w:rsid w:val="007661BC"/>
    <w:rsid w:val="007766C5"/>
    <w:rsid w:val="0078155E"/>
    <w:rsid w:val="0078216D"/>
    <w:rsid w:val="00782C9A"/>
    <w:rsid w:val="00784C73"/>
    <w:rsid w:val="007876F5"/>
    <w:rsid w:val="00790657"/>
    <w:rsid w:val="007970AB"/>
    <w:rsid w:val="007A6DFC"/>
    <w:rsid w:val="007E154E"/>
    <w:rsid w:val="007E4F86"/>
    <w:rsid w:val="007E51E7"/>
    <w:rsid w:val="00821331"/>
    <w:rsid w:val="00827BD0"/>
    <w:rsid w:val="00830B20"/>
    <w:rsid w:val="00833A24"/>
    <w:rsid w:val="00833E83"/>
    <w:rsid w:val="0083444C"/>
    <w:rsid w:val="00854795"/>
    <w:rsid w:val="00865189"/>
    <w:rsid w:val="008705C2"/>
    <w:rsid w:val="00871D99"/>
    <w:rsid w:val="00876543"/>
    <w:rsid w:val="00876584"/>
    <w:rsid w:val="00876715"/>
    <w:rsid w:val="008769BA"/>
    <w:rsid w:val="008847F1"/>
    <w:rsid w:val="00886E72"/>
    <w:rsid w:val="008A2568"/>
    <w:rsid w:val="008A7B07"/>
    <w:rsid w:val="008B1BBB"/>
    <w:rsid w:val="008B1CBF"/>
    <w:rsid w:val="008B52ED"/>
    <w:rsid w:val="008B67FA"/>
    <w:rsid w:val="008C7AD1"/>
    <w:rsid w:val="008F3EF7"/>
    <w:rsid w:val="008F5BAA"/>
    <w:rsid w:val="009102AA"/>
    <w:rsid w:val="00912FA0"/>
    <w:rsid w:val="00914366"/>
    <w:rsid w:val="00921564"/>
    <w:rsid w:val="00930754"/>
    <w:rsid w:val="00933C92"/>
    <w:rsid w:val="00935450"/>
    <w:rsid w:val="0094171F"/>
    <w:rsid w:val="00944BBA"/>
    <w:rsid w:val="00946E2E"/>
    <w:rsid w:val="00951049"/>
    <w:rsid w:val="00952024"/>
    <w:rsid w:val="009606EC"/>
    <w:rsid w:val="00962E4E"/>
    <w:rsid w:val="00966A18"/>
    <w:rsid w:val="00967086"/>
    <w:rsid w:val="00973C26"/>
    <w:rsid w:val="00987B9B"/>
    <w:rsid w:val="0099215E"/>
    <w:rsid w:val="00992556"/>
    <w:rsid w:val="009A5F31"/>
    <w:rsid w:val="009B150B"/>
    <w:rsid w:val="009B3101"/>
    <w:rsid w:val="009B5DF1"/>
    <w:rsid w:val="009B6B0C"/>
    <w:rsid w:val="009D6085"/>
    <w:rsid w:val="009E0F99"/>
    <w:rsid w:val="009E1F98"/>
    <w:rsid w:val="00A015FC"/>
    <w:rsid w:val="00A01688"/>
    <w:rsid w:val="00A01E43"/>
    <w:rsid w:val="00A02F47"/>
    <w:rsid w:val="00A16A44"/>
    <w:rsid w:val="00A16E3C"/>
    <w:rsid w:val="00A33DB9"/>
    <w:rsid w:val="00A61B69"/>
    <w:rsid w:val="00A62C48"/>
    <w:rsid w:val="00A6521B"/>
    <w:rsid w:val="00A65F61"/>
    <w:rsid w:val="00A93611"/>
    <w:rsid w:val="00AA0BFB"/>
    <w:rsid w:val="00AA3710"/>
    <w:rsid w:val="00AD0FFF"/>
    <w:rsid w:val="00AE5E41"/>
    <w:rsid w:val="00AF0CC0"/>
    <w:rsid w:val="00AF2BD0"/>
    <w:rsid w:val="00B00E3C"/>
    <w:rsid w:val="00B02C66"/>
    <w:rsid w:val="00B0760F"/>
    <w:rsid w:val="00B1388C"/>
    <w:rsid w:val="00B22423"/>
    <w:rsid w:val="00B2754A"/>
    <w:rsid w:val="00B42378"/>
    <w:rsid w:val="00B435B3"/>
    <w:rsid w:val="00B460DA"/>
    <w:rsid w:val="00B75BCE"/>
    <w:rsid w:val="00B82B5A"/>
    <w:rsid w:val="00B86485"/>
    <w:rsid w:val="00B92937"/>
    <w:rsid w:val="00B9489A"/>
    <w:rsid w:val="00B96E23"/>
    <w:rsid w:val="00BA0EDB"/>
    <w:rsid w:val="00BA5953"/>
    <w:rsid w:val="00BA6DAD"/>
    <w:rsid w:val="00BB00BC"/>
    <w:rsid w:val="00BB293A"/>
    <w:rsid w:val="00BB3A45"/>
    <w:rsid w:val="00BB7D4A"/>
    <w:rsid w:val="00BE13A4"/>
    <w:rsid w:val="00BF15CF"/>
    <w:rsid w:val="00BF4E0A"/>
    <w:rsid w:val="00C04771"/>
    <w:rsid w:val="00C058C4"/>
    <w:rsid w:val="00C06200"/>
    <w:rsid w:val="00C13345"/>
    <w:rsid w:val="00C2017A"/>
    <w:rsid w:val="00C216FC"/>
    <w:rsid w:val="00C22436"/>
    <w:rsid w:val="00C2392B"/>
    <w:rsid w:val="00C31874"/>
    <w:rsid w:val="00C31C8C"/>
    <w:rsid w:val="00C3605B"/>
    <w:rsid w:val="00C41168"/>
    <w:rsid w:val="00C459A6"/>
    <w:rsid w:val="00C5680F"/>
    <w:rsid w:val="00C57961"/>
    <w:rsid w:val="00C62D21"/>
    <w:rsid w:val="00C64BEC"/>
    <w:rsid w:val="00C72C5A"/>
    <w:rsid w:val="00C74256"/>
    <w:rsid w:val="00C749F4"/>
    <w:rsid w:val="00C74D0D"/>
    <w:rsid w:val="00C750AE"/>
    <w:rsid w:val="00CA3FFC"/>
    <w:rsid w:val="00CA49C9"/>
    <w:rsid w:val="00CA4AD0"/>
    <w:rsid w:val="00CB4920"/>
    <w:rsid w:val="00CD49F9"/>
    <w:rsid w:val="00CD6B70"/>
    <w:rsid w:val="00CD73C2"/>
    <w:rsid w:val="00CE6A56"/>
    <w:rsid w:val="00CF1CF3"/>
    <w:rsid w:val="00CF5353"/>
    <w:rsid w:val="00CF64E6"/>
    <w:rsid w:val="00D04366"/>
    <w:rsid w:val="00D255C5"/>
    <w:rsid w:val="00D257A8"/>
    <w:rsid w:val="00D418CA"/>
    <w:rsid w:val="00D41C78"/>
    <w:rsid w:val="00D42660"/>
    <w:rsid w:val="00D55C5F"/>
    <w:rsid w:val="00D62DC8"/>
    <w:rsid w:val="00D74324"/>
    <w:rsid w:val="00D80E7C"/>
    <w:rsid w:val="00D8487B"/>
    <w:rsid w:val="00D85DB4"/>
    <w:rsid w:val="00D9076B"/>
    <w:rsid w:val="00D915CB"/>
    <w:rsid w:val="00D92AAD"/>
    <w:rsid w:val="00D93726"/>
    <w:rsid w:val="00D9507A"/>
    <w:rsid w:val="00D96678"/>
    <w:rsid w:val="00DA6EB0"/>
    <w:rsid w:val="00DB3952"/>
    <w:rsid w:val="00DB6A10"/>
    <w:rsid w:val="00DC1419"/>
    <w:rsid w:val="00DC3E85"/>
    <w:rsid w:val="00DC505C"/>
    <w:rsid w:val="00DC5469"/>
    <w:rsid w:val="00DD2B78"/>
    <w:rsid w:val="00DD3F5B"/>
    <w:rsid w:val="00DD5496"/>
    <w:rsid w:val="00DD6FC0"/>
    <w:rsid w:val="00DE0223"/>
    <w:rsid w:val="00DE445E"/>
    <w:rsid w:val="00DF7AD6"/>
    <w:rsid w:val="00E0410B"/>
    <w:rsid w:val="00E10C61"/>
    <w:rsid w:val="00E23742"/>
    <w:rsid w:val="00E2672F"/>
    <w:rsid w:val="00E352B1"/>
    <w:rsid w:val="00E40DEF"/>
    <w:rsid w:val="00E45985"/>
    <w:rsid w:val="00E45CD2"/>
    <w:rsid w:val="00E51C23"/>
    <w:rsid w:val="00E53205"/>
    <w:rsid w:val="00E55191"/>
    <w:rsid w:val="00E73BFC"/>
    <w:rsid w:val="00E7740A"/>
    <w:rsid w:val="00E911E2"/>
    <w:rsid w:val="00E92810"/>
    <w:rsid w:val="00EB0698"/>
    <w:rsid w:val="00EB3C42"/>
    <w:rsid w:val="00EB50DB"/>
    <w:rsid w:val="00ED2FB2"/>
    <w:rsid w:val="00ED6D52"/>
    <w:rsid w:val="00EE6EA2"/>
    <w:rsid w:val="00EF2C52"/>
    <w:rsid w:val="00EF5CDD"/>
    <w:rsid w:val="00F00CCF"/>
    <w:rsid w:val="00F21DE9"/>
    <w:rsid w:val="00F24079"/>
    <w:rsid w:val="00F259C6"/>
    <w:rsid w:val="00F27D7D"/>
    <w:rsid w:val="00F30ADE"/>
    <w:rsid w:val="00F3593F"/>
    <w:rsid w:val="00F36701"/>
    <w:rsid w:val="00F409CE"/>
    <w:rsid w:val="00F54312"/>
    <w:rsid w:val="00F63677"/>
    <w:rsid w:val="00F65E5A"/>
    <w:rsid w:val="00F72023"/>
    <w:rsid w:val="00F73BA7"/>
    <w:rsid w:val="00F832D2"/>
    <w:rsid w:val="00F86FAE"/>
    <w:rsid w:val="00FA6C6C"/>
    <w:rsid w:val="00FB7925"/>
    <w:rsid w:val="00FC1C44"/>
    <w:rsid w:val="00FC34E2"/>
    <w:rsid w:val="00FC37DF"/>
    <w:rsid w:val="00FC5EDD"/>
    <w:rsid w:val="00FD40E9"/>
    <w:rsid w:val="00FE597B"/>
    <w:rsid w:val="00FF17F6"/>
    <w:rsid w:val="00FF72FF"/>
    <w:rsid w:val="17FEDC6F"/>
    <w:rsid w:val="217EB3EF"/>
    <w:rsid w:val="27AB321D"/>
    <w:rsid w:val="2FBF4D5D"/>
    <w:rsid w:val="33B3B460"/>
    <w:rsid w:val="367F40C4"/>
    <w:rsid w:val="37BB9B61"/>
    <w:rsid w:val="3D73A8C5"/>
    <w:rsid w:val="3F97953E"/>
    <w:rsid w:val="42F74D04"/>
    <w:rsid w:val="4FFFC859"/>
    <w:rsid w:val="53F9453E"/>
    <w:rsid w:val="55EFCA1D"/>
    <w:rsid w:val="56F7ADEA"/>
    <w:rsid w:val="579F4E98"/>
    <w:rsid w:val="5B7A08CF"/>
    <w:rsid w:val="5BA739F2"/>
    <w:rsid w:val="5DE7016E"/>
    <w:rsid w:val="5DF3B41E"/>
    <w:rsid w:val="5E7FCD3C"/>
    <w:rsid w:val="5F5FDBA1"/>
    <w:rsid w:val="5F5FFE02"/>
    <w:rsid w:val="5FBDC3B2"/>
    <w:rsid w:val="5FF7DA00"/>
    <w:rsid w:val="66956E1C"/>
    <w:rsid w:val="67CB6B6E"/>
    <w:rsid w:val="6A96D2B8"/>
    <w:rsid w:val="6BB3F76E"/>
    <w:rsid w:val="6CDF2C39"/>
    <w:rsid w:val="6DDFEEB6"/>
    <w:rsid w:val="6EB5A8E3"/>
    <w:rsid w:val="6EE7D11A"/>
    <w:rsid w:val="6F3FB23E"/>
    <w:rsid w:val="6F5771E7"/>
    <w:rsid w:val="6F64CFFD"/>
    <w:rsid w:val="6FB7319D"/>
    <w:rsid w:val="6FBF57CF"/>
    <w:rsid w:val="71575541"/>
    <w:rsid w:val="7386A5B1"/>
    <w:rsid w:val="75B60E2B"/>
    <w:rsid w:val="75FE23D8"/>
    <w:rsid w:val="7797F8B8"/>
    <w:rsid w:val="77D54AE9"/>
    <w:rsid w:val="77FE5B3D"/>
    <w:rsid w:val="7A962294"/>
    <w:rsid w:val="7B5B10FD"/>
    <w:rsid w:val="7BCF7EC7"/>
    <w:rsid w:val="7BDDE785"/>
    <w:rsid w:val="7E376AA0"/>
    <w:rsid w:val="7EFEDB8E"/>
    <w:rsid w:val="7F1B74A5"/>
    <w:rsid w:val="7F73F2AC"/>
    <w:rsid w:val="7F7CA597"/>
    <w:rsid w:val="7F7FD592"/>
    <w:rsid w:val="7FEFA19D"/>
    <w:rsid w:val="7FFD7898"/>
    <w:rsid w:val="7FFF6ADB"/>
    <w:rsid w:val="7FFF7270"/>
    <w:rsid w:val="7FFFEEBF"/>
    <w:rsid w:val="8EFF133B"/>
    <w:rsid w:val="8FBF3301"/>
    <w:rsid w:val="95E775DB"/>
    <w:rsid w:val="9BEE439B"/>
    <w:rsid w:val="9DF65E9D"/>
    <w:rsid w:val="9F65983C"/>
    <w:rsid w:val="9FAF4806"/>
    <w:rsid w:val="A7CD9794"/>
    <w:rsid w:val="AE793ED3"/>
    <w:rsid w:val="AFBE260B"/>
    <w:rsid w:val="AFFF56F3"/>
    <w:rsid w:val="B57F5A6D"/>
    <w:rsid w:val="BDBDBE51"/>
    <w:rsid w:val="BEFE1C09"/>
    <w:rsid w:val="BFDA9282"/>
    <w:rsid w:val="C7FE643C"/>
    <w:rsid w:val="CDBFC3A2"/>
    <w:rsid w:val="D3FA5E9A"/>
    <w:rsid w:val="D9CD9E5C"/>
    <w:rsid w:val="DBEF1460"/>
    <w:rsid w:val="DBFF693A"/>
    <w:rsid w:val="DF0AFBEA"/>
    <w:rsid w:val="DF37B5CC"/>
    <w:rsid w:val="DF4A62E1"/>
    <w:rsid w:val="DF64FE46"/>
    <w:rsid w:val="DFC36B58"/>
    <w:rsid w:val="E17AA057"/>
    <w:rsid w:val="E2FFB539"/>
    <w:rsid w:val="E7B6C265"/>
    <w:rsid w:val="EC6F7442"/>
    <w:rsid w:val="EDDFB6DE"/>
    <w:rsid w:val="EED9ED4B"/>
    <w:rsid w:val="EEFFCA4E"/>
    <w:rsid w:val="EFADC5B3"/>
    <w:rsid w:val="F3FFA33C"/>
    <w:rsid w:val="F5FFA8AC"/>
    <w:rsid w:val="F76F7100"/>
    <w:rsid w:val="F9CD4AD4"/>
    <w:rsid w:val="F9F6AB7D"/>
    <w:rsid w:val="FAFF5A5E"/>
    <w:rsid w:val="FB2958D2"/>
    <w:rsid w:val="FB7B97B1"/>
    <w:rsid w:val="FBFD620F"/>
    <w:rsid w:val="FBFED181"/>
    <w:rsid w:val="FBFF6749"/>
    <w:rsid w:val="FDCBE938"/>
    <w:rsid w:val="FDDF193B"/>
    <w:rsid w:val="FDFD2C0B"/>
    <w:rsid w:val="FEDF3EF1"/>
    <w:rsid w:val="FEFF48E4"/>
    <w:rsid w:val="FF32F7E1"/>
    <w:rsid w:val="FF3EB604"/>
    <w:rsid w:val="FFDFAF8B"/>
    <w:rsid w:val="FFE02EF7"/>
    <w:rsid w:val="FFFC6244"/>
    <w:rsid w:val="FFFE11A6"/>
    <w:rsid w:val="FFFE7BA5"/>
    <w:rsid w:val="FFFEFAEF"/>
    <w:rsid w:val="FF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qFormat="1" w:unhideWhenUsed="0" w:uiPriority="0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0" w:semiHidden="0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</w:pPr>
    <w:rPr>
      <w:rFonts w:ascii="宋体" w:hAnsi="Times New Roman" w:eastAsia="宋体" w:cs="Times New Roman"/>
      <w:snapToGrid w:val="0"/>
      <w:kern w:val="0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0"/>
    <w:pPr>
      <w:keepNext/>
      <w:numPr>
        <w:ilvl w:val="0"/>
        <w:numId w:val="1"/>
      </w:numPr>
      <w:spacing w:before="120" w:after="60"/>
      <w:outlineLvl w:val="0"/>
    </w:pPr>
    <w:rPr>
      <w:rFonts w:eastAsia="微软雅黑"/>
      <w:b/>
      <w:sz w:val="44"/>
    </w:rPr>
  </w:style>
  <w:style w:type="paragraph" w:styleId="3">
    <w:name w:val="heading 2"/>
    <w:basedOn w:val="2"/>
    <w:next w:val="1"/>
    <w:link w:val="38"/>
    <w:qFormat/>
    <w:uiPriority w:val="0"/>
    <w:pPr>
      <w:numPr>
        <w:ilvl w:val="1"/>
      </w:numPr>
      <w:outlineLvl w:val="1"/>
    </w:pPr>
    <w:rPr>
      <w:sz w:val="32"/>
    </w:rPr>
  </w:style>
  <w:style w:type="paragraph" w:styleId="4">
    <w:name w:val="heading 3"/>
    <w:basedOn w:val="2"/>
    <w:next w:val="1"/>
    <w:link w:val="39"/>
    <w:qFormat/>
    <w:uiPriority w:val="0"/>
    <w:pPr>
      <w:numPr>
        <w:ilvl w:val="2"/>
      </w:numPr>
      <w:outlineLvl w:val="2"/>
    </w:pPr>
    <w:rPr>
      <w:sz w:val="28"/>
    </w:rPr>
  </w:style>
  <w:style w:type="paragraph" w:styleId="5">
    <w:name w:val="heading 4"/>
    <w:basedOn w:val="2"/>
    <w:next w:val="1"/>
    <w:link w:val="40"/>
    <w:qFormat/>
    <w:uiPriority w:val="0"/>
    <w:pPr>
      <w:numPr>
        <w:ilvl w:val="3"/>
      </w:numPr>
      <w:outlineLvl w:val="3"/>
    </w:pPr>
    <w:rPr>
      <w:sz w:val="24"/>
    </w:rPr>
  </w:style>
  <w:style w:type="paragraph" w:styleId="6">
    <w:name w:val="heading 5"/>
    <w:basedOn w:val="1"/>
    <w:next w:val="1"/>
    <w:link w:val="41"/>
    <w:qFormat/>
    <w:uiPriority w:val="0"/>
    <w:pPr>
      <w:numPr>
        <w:ilvl w:val="4"/>
        <w:numId w:val="1"/>
      </w:numPr>
      <w:spacing w:before="240" w:after="60"/>
      <w:outlineLvl w:val="4"/>
    </w:pPr>
    <w:rPr>
      <w:b/>
    </w:rPr>
  </w:style>
  <w:style w:type="paragraph" w:styleId="7">
    <w:name w:val="heading 6"/>
    <w:basedOn w:val="1"/>
    <w:next w:val="1"/>
    <w:link w:val="42"/>
    <w:qFormat/>
    <w:uiPriority w:val="0"/>
    <w:pPr>
      <w:numPr>
        <w:ilvl w:val="5"/>
        <w:numId w:val="1"/>
      </w:numPr>
      <w:spacing w:before="240" w:after="60"/>
      <w:outlineLvl w:val="5"/>
    </w:pPr>
    <w:rPr>
      <w:b/>
    </w:rPr>
  </w:style>
  <w:style w:type="paragraph" w:styleId="8">
    <w:name w:val="heading 7"/>
    <w:basedOn w:val="1"/>
    <w:next w:val="1"/>
    <w:link w:val="43"/>
    <w:qFormat/>
    <w:uiPriority w:val="0"/>
    <w:pPr>
      <w:numPr>
        <w:ilvl w:val="6"/>
        <w:numId w:val="1"/>
      </w:numPr>
      <w:spacing w:before="240" w:after="60"/>
      <w:outlineLvl w:val="6"/>
    </w:pPr>
    <w:rPr>
      <w:b/>
    </w:rPr>
  </w:style>
  <w:style w:type="paragraph" w:styleId="9">
    <w:name w:val="heading 8"/>
    <w:basedOn w:val="1"/>
    <w:next w:val="1"/>
    <w:link w:val="44"/>
    <w:qFormat/>
    <w:uiPriority w:val="0"/>
    <w:pPr>
      <w:numPr>
        <w:ilvl w:val="7"/>
        <w:numId w:val="1"/>
      </w:numPr>
      <w:spacing w:before="240" w:after="60"/>
      <w:outlineLvl w:val="7"/>
    </w:pPr>
    <w:rPr>
      <w:b/>
    </w:rPr>
  </w:style>
  <w:style w:type="paragraph" w:styleId="10">
    <w:name w:val="heading 9"/>
    <w:basedOn w:val="1"/>
    <w:next w:val="1"/>
    <w:link w:val="45"/>
    <w:qFormat/>
    <w:uiPriority w:val="0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31">
    <w:name w:val="Default Paragraph Font"/>
    <w:unhideWhenUsed/>
    <w:qFormat/>
    <w:uiPriority w:val="1"/>
  </w:style>
  <w:style w:type="table" w:default="1" w:styleId="3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semiHidden/>
    <w:qFormat/>
    <w:uiPriority w:val="0"/>
    <w:pPr>
      <w:ind w:left="1260"/>
    </w:pPr>
    <w:rPr>
      <w:rFonts w:ascii="Times New Roman"/>
      <w:sz w:val="18"/>
      <w:szCs w:val="18"/>
    </w:rPr>
  </w:style>
  <w:style w:type="paragraph" w:styleId="12">
    <w:name w:val="Normal Indent"/>
    <w:basedOn w:val="1"/>
    <w:qFormat/>
    <w:uiPriority w:val="0"/>
    <w:pPr>
      <w:ind w:left="900" w:hanging="900"/>
    </w:pPr>
  </w:style>
  <w:style w:type="paragraph" w:styleId="13">
    <w:name w:val="Document Map"/>
    <w:basedOn w:val="1"/>
    <w:link w:val="67"/>
    <w:semiHidden/>
    <w:qFormat/>
    <w:uiPriority w:val="0"/>
    <w:pPr>
      <w:shd w:val="clear" w:color="auto" w:fill="000080"/>
    </w:pPr>
  </w:style>
  <w:style w:type="paragraph" w:styleId="14">
    <w:name w:val="Body Text 3"/>
    <w:basedOn w:val="1"/>
    <w:link w:val="71"/>
    <w:qFormat/>
    <w:uiPriority w:val="0"/>
    <w:pPr>
      <w:spacing w:line="240" w:lineRule="auto"/>
      <w:jc w:val="both"/>
    </w:pPr>
    <w:rPr>
      <w:rFonts w:ascii="Times New Roman"/>
      <w:snapToGrid/>
      <w:kern w:val="2"/>
      <w:sz w:val="18"/>
    </w:rPr>
  </w:style>
  <w:style w:type="paragraph" w:styleId="15">
    <w:name w:val="Body Text"/>
    <w:basedOn w:val="1"/>
    <w:link w:val="66"/>
    <w:qFormat/>
    <w:uiPriority w:val="0"/>
    <w:pPr>
      <w:keepLines/>
      <w:spacing w:after="120"/>
      <w:ind w:left="720"/>
    </w:pPr>
  </w:style>
  <w:style w:type="paragraph" w:styleId="16">
    <w:name w:val="toc 5"/>
    <w:basedOn w:val="1"/>
    <w:next w:val="1"/>
    <w:semiHidden/>
    <w:qFormat/>
    <w:uiPriority w:val="0"/>
    <w:pPr>
      <w:ind w:left="840"/>
    </w:pPr>
    <w:rPr>
      <w:rFonts w:ascii="Times New Roman"/>
      <w:sz w:val="18"/>
      <w:szCs w:val="18"/>
    </w:rPr>
  </w:style>
  <w:style w:type="paragraph" w:styleId="17">
    <w:name w:val="toc 3"/>
    <w:basedOn w:val="1"/>
    <w:next w:val="1"/>
    <w:qFormat/>
    <w:uiPriority w:val="39"/>
    <w:pPr>
      <w:ind w:left="420"/>
    </w:pPr>
    <w:rPr>
      <w:rFonts w:ascii="Times New Roman"/>
      <w:iCs/>
      <w:sz w:val="20"/>
    </w:rPr>
  </w:style>
  <w:style w:type="paragraph" w:styleId="18">
    <w:name w:val="toc 8"/>
    <w:basedOn w:val="1"/>
    <w:next w:val="1"/>
    <w:semiHidden/>
    <w:qFormat/>
    <w:uiPriority w:val="0"/>
    <w:pPr>
      <w:ind w:left="1470"/>
    </w:pPr>
    <w:rPr>
      <w:rFonts w:ascii="Times New Roman"/>
      <w:sz w:val="18"/>
      <w:szCs w:val="18"/>
    </w:rPr>
  </w:style>
  <w:style w:type="paragraph" w:styleId="19">
    <w:name w:val="Balloon Text"/>
    <w:basedOn w:val="1"/>
    <w:link w:val="59"/>
    <w:semiHidden/>
    <w:qFormat/>
    <w:uiPriority w:val="0"/>
    <w:rPr>
      <w:sz w:val="18"/>
      <w:szCs w:val="18"/>
    </w:rPr>
  </w:style>
  <w:style w:type="paragraph" w:styleId="20">
    <w:name w:val="footer"/>
    <w:basedOn w:val="1"/>
    <w:link w:val="79"/>
    <w:qFormat/>
    <w:uiPriority w:val="0"/>
    <w:pPr>
      <w:tabs>
        <w:tab w:val="center" w:pos="4320"/>
        <w:tab w:val="right" w:pos="8640"/>
      </w:tabs>
    </w:pPr>
  </w:style>
  <w:style w:type="paragraph" w:styleId="21">
    <w:name w:val="header"/>
    <w:basedOn w:val="1"/>
    <w:link w:val="70"/>
    <w:qFormat/>
    <w:uiPriority w:val="0"/>
    <w:pPr>
      <w:tabs>
        <w:tab w:val="center" w:pos="4320"/>
        <w:tab w:val="right" w:pos="8640"/>
      </w:tabs>
    </w:pPr>
  </w:style>
  <w:style w:type="paragraph" w:styleId="22">
    <w:name w:val="toc 1"/>
    <w:basedOn w:val="1"/>
    <w:next w:val="1"/>
    <w:qFormat/>
    <w:uiPriority w:val="39"/>
    <w:pPr>
      <w:spacing w:before="120" w:after="120"/>
    </w:pPr>
    <w:rPr>
      <w:rFonts w:ascii="Times New Roman"/>
      <w:b/>
      <w:bCs/>
      <w:caps/>
      <w:sz w:val="20"/>
    </w:rPr>
  </w:style>
  <w:style w:type="paragraph" w:styleId="23">
    <w:name w:val="toc 4"/>
    <w:basedOn w:val="1"/>
    <w:next w:val="1"/>
    <w:semiHidden/>
    <w:qFormat/>
    <w:uiPriority w:val="0"/>
    <w:pPr>
      <w:ind w:left="630"/>
    </w:pPr>
    <w:rPr>
      <w:rFonts w:ascii="Times New Roman"/>
      <w:sz w:val="18"/>
      <w:szCs w:val="18"/>
    </w:rPr>
  </w:style>
  <w:style w:type="paragraph" w:styleId="24">
    <w:name w:val="Subtitle"/>
    <w:basedOn w:val="1"/>
    <w:link w:val="58"/>
    <w:qFormat/>
    <w:uiPriority w:val="0"/>
    <w:pPr>
      <w:widowControl/>
      <w:overflowPunct w:val="0"/>
      <w:autoSpaceDE w:val="0"/>
      <w:autoSpaceDN w:val="0"/>
      <w:adjustRightInd w:val="0"/>
      <w:spacing w:after="60" w:line="240" w:lineRule="auto"/>
      <w:jc w:val="right"/>
      <w:textAlignment w:val="baseline"/>
    </w:pPr>
    <w:rPr>
      <w:rFonts w:ascii="Arial" w:hAnsi="Arial"/>
      <w:i/>
      <w:snapToGrid/>
      <w:sz w:val="24"/>
    </w:rPr>
  </w:style>
  <w:style w:type="paragraph" w:styleId="25">
    <w:name w:val="footnote text"/>
    <w:basedOn w:val="1"/>
    <w:link w:val="54"/>
    <w:semiHidden/>
    <w:qFormat/>
    <w:uiPriority w:val="0"/>
    <w:pPr>
      <w:keepNext/>
      <w:keepLines/>
      <w:pBdr>
        <w:bottom w:val="single" w:color="000000" w:sz="6" w:space="0"/>
      </w:pBdr>
      <w:spacing w:before="40" w:after="40"/>
      <w:ind w:left="360" w:hanging="360"/>
    </w:pPr>
    <w:rPr>
      <w:sz w:val="16"/>
    </w:rPr>
  </w:style>
  <w:style w:type="paragraph" w:styleId="26">
    <w:name w:val="toc 6"/>
    <w:basedOn w:val="1"/>
    <w:next w:val="1"/>
    <w:semiHidden/>
    <w:qFormat/>
    <w:uiPriority w:val="0"/>
    <w:pPr>
      <w:ind w:left="1050"/>
    </w:pPr>
    <w:rPr>
      <w:rFonts w:ascii="Times New Roman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</w:pPr>
    <w:rPr>
      <w:rFonts w:ascii="Times New Roman"/>
      <w:smallCaps/>
      <w:sz w:val="20"/>
    </w:rPr>
  </w:style>
  <w:style w:type="paragraph" w:styleId="28">
    <w:name w:val="toc 9"/>
    <w:basedOn w:val="1"/>
    <w:next w:val="1"/>
    <w:semiHidden/>
    <w:qFormat/>
    <w:uiPriority w:val="0"/>
    <w:pPr>
      <w:ind w:left="1680"/>
    </w:pPr>
    <w:rPr>
      <w:rFonts w:ascii="Times New Roman"/>
      <w:sz w:val="18"/>
      <w:szCs w:val="18"/>
    </w:rPr>
  </w:style>
  <w:style w:type="paragraph" w:styleId="29">
    <w:name w:val="Normal (Web)"/>
    <w:basedOn w:val="1"/>
    <w:qFormat/>
    <w:uiPriority w:val="0"/>
    <w:pPr>
      <w:widowControl/>
      <w:spacing w:before="100" w:beforeAutospacing="1" w:after="100" w:afterAutospacing="1" w:line="360" w:lineRule="atLeast"/>
    </w:pPr>
    <w:rPr>
      <w:rFonts w:hAnsi="宋体" w:cs="宋体"/>
      <w:snapToGrid/>
      <w:szCs w:val="21"/>
    </w:rPr>
  </w:style>
  <w:style w:type="paragraph" w:styleId="30">
    <w:name w:val="Title"/>
    <w:basedOn w:val="1"/>
    <w:next w:val="1"/>
    <w:link w:val="69"/>
    <w:qFormat/>
    <w:uiPriority w:val="0"/>
    <w:pPr>
      <w:spacing w:line="240" w:lineRule="auto"/>
      <w:jc w:val="center"/>
    </w:pPr>
    <w:rPr>
      <w:rFonts w:eastAsia="微软雅黑"/>
      <w:b/>
      <w:sz w:val="36"/>
    </w:rPr>
  </w:style>
  <w:style w:type="character" w:styleId="32">
    <w:name w:val="page number"/>
    <w:basedOn w:val="31"/>
    <w:qFormat/>
    <w:uiPriority w:val="0"/>
  </w:style>
  <w:style w:type="character" w:styleId="33">
    <w:name w:val="FollowedHyperlink"/>
    <w:basedOn w:val="31"/>
    <w:unhideWhenUsed/>
    <w:qFormat/>
    <w:uiPriority w:val="99"/>
    <w:rPr>
      <w:color w:val="800080"/>
      <w:u w:val="single"/>
    </w:rPr>
  </w:style>
  <w:style w:type="character" w:styleId="34">
    <w:name w:val="Hyperlink"/>
    <w:qFormat/>
    <w:uiPriority w:val="99"/>
    <w:rPr>
      <w:color w:val="0000FF"/>
      <w:u w:val="single"/>
    </w:rPr>
  </w:style>
  <w:style w:type="character" w:styleId="35">
    <w:name w:val="footnote reference"/>
    <w:semiHidden/>
    <w:qFormat/>
    <w:uiPriority w:val="0"/>
    <w:rPr>
      <w:sz w:val="20"/>
      <w:vertAlign w:val="superscript"/>
    </w:rPr>
  </w:style>
  <w:style w:type="character" w:customStyle="1" w:styleId="37">
    <w:name w:val="标题 1 字符"/>
    <w:basedOn w:val="31"/>
    <w:link w:val="2"/>
    <w:qFormat/>
    <w:uiPriority w:val="0"/>
    <w:rPr>
      <w:rFonts w:ascii="宋体" w:hAnsi="Times New Roman" w:eastAsia="微软雅黑" w:cs="Times New Roman"/>
      <w:b/>
      <w:snapToGrid w:val="0"/>
      <w:kern w:val="0"/>
      <w:sz w:val="44"/>
      <w:szCs w:val="20"/>
    </w:rPr>
  </w:style>
  <w:style w:type="character" w:customStyle="1" w:styleId="38">
    <w:name w:val="标题 2 字符"/>
    <w:basedOn w:val="31"/>
    <w:link w:val="3"/>
    <w:qFormat/>
    <w:uiPriority w:val="0"/>
    <w:rPr>
      <w:rFonts w:ascii="宋体" w:hAnsi="Times New Roman" w:eastAsia="微软雅黑" w:cs="Times New Roman"/>
      <w:b/>
      <w:snapToGrid w:val="0"/>
      <w:kern w:val="0"/>
      <w:sz w:val="32"/>
      <w:szCs w:val="20"/>
    </w:rPr>
  </w:style>
  <w:style w:type="character" w:customStyle="1" w:styleId="39">
    <w:name w:val="标题 3 字符"/>
    <w:basedOn w:val="31"/>
    <w:link w:val="4"/>
    <w:qFormat/>
    <w:uiPriority w:val="0"/>
    <w:rPr>
      <w:rFonts w:ascii="宋体" w:hAnsi="Times New Roman" w:eastAsia="微软雅黑" w:cs="Times New Roman"/>
      <w:b/>
      <w:snapToGrid w:val="0"/>
      <w:kern w:val="0"/>
      <w:sz w:val="28"/>
      <w:szCs w:val="20"/>
    </w:rPr>
  </w:style>
  <w:style w:type="character" w:customStyle="1" w:styleId="40">
    <w:name w:val="标题 4 字符"/>
    <w:basedOn w:val="31"/>
    <w:link w:val="5"/>
    <w:qFormat/>
    <w:uiPriority w:val="0"/>
    <w:rPr>
      <w:rFonts w:ascii="宋体" w:hAnsi="Times New Roman" w:eastAsia="微软雅黑" w:cs="Times New Roman"/>
      <w:b/>
      <w:snapToGrid w:val="0"/>
      <w:kern w:val="0"/>
      <w:szCs w:val="20"/>
    </w:rPr>
  </w:style>
  <w:style w:type="character" w:customStyle="1" w:styleId="41">
    <w:name w:val="标题 5 字符"/>
    <w:basedOn w:val="31"/>
    <w:link w:val="6"/>
    <w:qFormat/>
    <w:uiPriority w:val="0"/>
    <w:rPr>
      <w:rFonts w:ascii="宋体" w:hAnsi="Times New Roman" w:eastAsia="宋体" w:cs="Times New Roman"/>
      <w:b/>
      <w:snapToGrid w:val="0"/>
      <w:kern w:val="0"/>
      <w:sz w:val="21"/>
      <w:szCs w:val="20"/>
    </w:rPr>
  </w:style>
  <w:style w:type="character" w:customStyle="1" w:styleId="42">
    <w:name w:val="标题 6 字符"/>
    <w:basedOn w:val="31"/>
    <w:link w:val="7"/>
    <w:qFormat/>
    <w:uiPriority w:val="0"/>
    <w:rPr>
      <w:rFonts w:ascii="宋体" w:hAnsi="Times New Roman" w:eastAsia="宋体" w:cs="Times New Roman"/>
      <w:b/>
      <w:snapToGrid w:val="0"/>
      <w:kern w:val="0"/>
      <w:sz w:val="21"/>
      <w:szCs w:val="20"/>
    </w:rPr>
  </w:style>
  <w:style w:type="character" w:customStyle="1" w:styleId="43">
    <w:name w:val="标题 7 字符"/>
    <w:basedOn w:val="31"/>
    <w:link w:val="8"/>
    <w:qFormat/>
    <w:uiPriority w:val="0"/>
    <w:rPr>
      <w:rFonts w:ascii="宋体" w:hAnsi="Times New Roman" w:eastAsia="宋体" w:cs="Times New Roman"/>
      <w:b/>
      <w:snapToGrid w:val="0"/>
      <w:kern w:val="0"/>
      <w:sz w:val="21"/>
      <w:szCs w:val="20"/>
    </w:rPr>
  </w:style>
  <w:style w:type="character" w:customStyle="1" w:styleId="44">
    <w:name w:val="标题 8 字符"/>
    <w:basedOn w:val="31"/>
    <w:link w:val="9"/>
    <w:qFormat/>
    <w:uiPriority w:val="0"/>
    <w:rPr>
      <w:rFonts w:ascii="宋体" w:hAnsi="Times New Roman" w:eastAsia="宋体" w:cs="Times New Roman"/>
      <w:b/>
      <w:snapToGrid w:val="0"/>
      <w:kern w:val="0"/>
      <w:sz w:val="21"/>
      <w:szCs w:val="20"/>
    </w:rPr>
  </w:style>
  <w:style w:type="character" w:customStyle="1" w:styleId="45">
    <w:name w:val="标题 9 字符"/>
    <w:basedOn w:val="31"/>
    <w:link w:val="10"/>
    <w:qFormat/>
    <w:uiPriority w:val="0"/>
    <w:rPr>
      <w:rFonts w:ascii="宋体" w:hAnsi="Times New Roman" w:eastAsia="宋体" w:cs="Times New Roman"/>
      <w:b/>
      <w:i/>
      <w:snapToGrid w:val="0"/>
      <w:kern w:val="0"/>
      <w:sz w:val="18"/>
      <w:szCs w:val="20"/>
    </w:rPr>
  </w:style>
  <w:style w:type="character" w:customStyle="1" w:styleId="46">
    <w:name w:val="tw4winMark"/>
    <w:qFormat/>
    <w:uiPriority w:val="0"/>
    <w:rPr>
      <w:rFonts w:ascii="Courier New" w:hAnsi="Courier New"/>
      <w:vanish/>
      <w:color w:val="800080"/>
      <w:vertAlign w:val="subscript"/>
    </w:rPr>
  </w:style>
  <w:style w:type="character" w:customStyle="1" w:styleId="47">
    <w:name w:val="tw4winExternal"/>
    <w:qFormat/>
    <w:uiPriority w:val="0"/>
    <w:rPr>
      <w:rFonts w:ascii="Courier New" w:hAnsi="Courier New"/>
      <w:color w:val="808080"/>
    </w:rPr>
  </w:style>
  <w:style w:type="character" w:customStyle="1" w:styleId="48">
    <w:name w:val="tw4winJump"/>
    <w:qFormat/>
    <w:uiPriority w:val="0"/>
    <w:rPr>
      <w:rFonts w:ascii="Courier New" w:hAnsi="Courier New"/>
      <w:color w:val="008080"/>
    </w:rPr>
  </w:style>
  <w:style w:type="character" w:customStyle="1" w:styleId="49">
    <w:name w:val="tw4winTerm"/>
    <w:qFormat/>
    <w:uiPriority w:val="0"/>
    <w:rPr>
      <w:color w:val="0000FF"/>
    </w:rPr>
  </w:style>
  <w:style w:type="character" w:customStyle="1" w:styleId="50">
    <w:name w:val="tw4winPopup"/>
    <w:qFormat/>
    <w:uiPriority w:val="0"/>
    <w:rPr>
      <w:rFonts w:ascii="Courier New" w:hAnsi="Courier New"/>
      <w:color w:val="008000"/>
    </w:rPr>
  </w:style>
  <w:style w:type="character" w:customStyle="1" w:styleId="51">
    <w:name w:val="tw4winInternal"/>
    <w:qFormat/>
    <w:uiPriority w:val="0"/>
    <w:rPr>
      <w:rFonts w:ascii="Courier New" w:hAnsi="Courier New"/>
      <w:color w:val="FF0000"/>
    </w:rPr>
  </w:style>
  <w:style w:type="character" w:customStyle="1" w:styleId="52">
    <w:name w:val="tw4winError"/>
    <w:qFormat/>
    <w:uiPriority w:val="0"/>
    <w:rPr>
      <w:rFonts w:ascii="Courier New" w:hAnsi="Courier New"/>
      <w:color w:val="00FF00"/>
      <w:sz w:val="40"/>
    </w:rPr>
  </w:style>
  <w:style w:type="paragraph" w:customStyle="1" w:styleId="53">
    <w:name w:val="Char"/>
    <w:basedOn w:val="1"/>
    <w:qFormat/>
    <w:uiPriority w:val="0"/>
    <w:pPr>
      <w:spacing w:line="240" w:lineRule="auto"/>
      <w:ind w:firstLine="200" w:firstLineChars="200"/>
      <w:jc w:val="both"/>
    </w:pPr>
    <w:rPr>
      <w:rFonts w:ascii="Tahoma" w:hAnsi="Tahoma"/>
      <w:snapToGrid/>
      <w:sz w:val="24"/>
    </w:rPr>
  </w:style>
  <w:style w:type="character" w:customStyle="1" w:styleId="54">
    <w:name w:val="脚注文本 字符"/>
    <w:basedOn w:val="31"/>
    <w:link w:val="25"/>
    <w:semiHidden/>
    <w:qFormat/>
    <w:uiPriority w:val="0"/>
    <w:rPr>
      <w:rFonts w:ascii="宋体" w:hAnsi="Times New Roman" w:eastAsia="宋体" w:cs="Times New Roman"/>
      <w:snapToGrid w:val="0"/>
      <w:kern w:val="0"/>
      <w:sz w:val="16"/>
      <w:szCs w:val="20"/>
    </w:rPr>
  </w:style>
  <w:style w:type="paragraph" w:customStyle="1" w:styleId="55">
    <w:name w:val="List Paragraph"/>
    <w:basedOn w:val="1"/>
    <w:qFormat/>
    <w:uiPriority w:val="34"/>
    <w:pPr>
      <w:ind w:firstLine="420" w:firstLineChars="200"/>
    </w:pPr>
  </w:style>
  <w:style w:type="paragraph" w:customStyle="1" w:styleId="56">
    <w:name w:val="Tabletext"/>
    <w:basedOn w:val="1"/>
    <w:qFormat/>
    <w:uiPriority w:val="0"/>
    <w:pPr>
      <w:keepLines/>
      <w:spacing w:after="120"/>
    </w:pPr>
  </w:style>
  <w:style w:type="paragraph" w:customStyle="1" w:styleId="57">
    <w:name w:val="样式 居中"/>
    <w:basedOn w:val="1"/>
    <w:qFormat/>
    <w:uiPriority w:val="0"/>
    <w:pPr>
      <w:jc w:val="center"/>
    </w:pPr>
    <w:rPr>
      <w:rFonts w:cs="宋体"/>
    </w:rPr>
  </w:style>
  <w:style w:type="character" w:customStyle="1" w:styleId="58">
    <w:name w:val="副标题 字符"/>
    <w:basedOn w:val="31"/>
    <w:link w:val="24"/>
    <w:qFormat/>
    <w:uiPriority w:val="0"/>
    <w:rPr>
      <w:rFonts w:ascii="Arial" w:hAnsi="Arial" w:eastAsia="宋体" w:cs="Times New Roman"/>
      <w:i/>
      <w:kern w:val="0"/>
      <w:szCs w:val="20"/>
    </w:rPr>
  </w:style>
  <w:style w:type="character" w:customStyle="1" w:styleId="59">
    <w:name w:val="批注框文本 字符"/>
    <w:basedOn w:val="31"/>
    <w:link w:val="19"/>
    <w:semiHidden/>
    <w:qFormat/>
    <w:uiPriority w:val="0"/>
    <w:rPr>
      <w:rFonts w:ascii="宋体" w:hAnsi="Times New Roman" w:eastAsia="宋体" w:cs="Times New Roman"/>
      <w:snapToGrid w:val="0"/>
      <w:kern w:val="0"/>
      <w:sz w:val="18"/>
      <w:szCs w:val="18"/>
    </w:rPr>
  </w:style>
  <w:style w:type="paragraph" w:customStyle="1" w:styleId="60">
    <w:name w:val="样式1"/>
    <w:basedOn w:val="2"/>
    <w:qFormat/>
    <w:uiPriority w:val="0"/>
  </w:style>
  <w:style w:type="paragraph" w:customStyle="1" w:styleId="61">
    <w:name w:val="Bullet"/>
    <w:basedOn w:val="1"/>
    <w:qFormat/>
    <w:uiPriority w:val="0"/>
    <w:pPr>
      <w:widowControl/>
      <w:tabs>
        <w:tab w:val="left" w:pos="360"/>
        <w:tab w:val="left" w:pos="720"/>
      </w:tabs>
      <w:spacing w:before="120" w:line="240" w:lineRule="auto"/>
      <w:ind w:left="720" w:right="360"/>
      <w:jc w:val="both"/>
    </w:pPr>
  </w:style>
  <w:style w:type="paragraph" w:customStyle="1" w:styleId="62">
    <w:name w:val="InfoBlue"/>
    <w:basedOn w:val="1"/>
    <w:next w:val="15"/>
    <w:qFormat/>
    <w:uiPriority w:val="0"/>
    <w:pPr>
      <w:spacing w:after="120"/>
      <w:ind w:left="720"/>
    </w:pPr>
    <w:rPr>
      <w:i/>
      <w:color w:val="0000FF"/>
    </w:rPr>
  </w:style>
  <w:style w:type="paragraph" w:customStyle="1" w:styleId="63">
    <w:name w:val="Paragraph3"/>
    <w:basedOn w:val="1"/>
    <w:qFormat/>
    <w:uiPriority w:val="0"/>
    <w:pPr>
      <w:spacing w:before="80" w:line="240" w:lineRule="auto"/>
      <w:ind w:left="1530"/>
      <w:jc w:val="both"/>
    </w:pPr>
  </w:style>
  <w:style w:type="paragraph" w:customStyle="1" w:styleId="64">
    <w:name w:val="Paragraph1"/>
    <w:basedOn w:val="1"/>
    <w:qFormat/>
    <w:uiPriority w:val="0"/>
    <w:pPr>
      <w:spacing w:before="80" w:line="240" w:lineRule="auto"/>
      <w:jc w:val="both"/>
    </w:pPr>
  </w:style>
  <w:style w:type="paragraph" w:customStyle="1" w:styleId="65">
    <w:name w:val="Default Text"/>
    <w:basedOn w:val="1"/>
    <w:qFormat/>
    <w:uiPriority w:val="0"/>
    <w:pPr>
      <w:widowControl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/>
      <w:snapToGrid/>
      <w:sz w:val="24"/>
      <w:szCs w:val="24"/>
    </w:rPr>
  </w:style>
  <w:style w:type="character" w:customStyle="1" w:styleId="66">
    <w:name w:val="正文文本 字符"/>
    <w:basedOn w:val="31"/>
    <w:link w:val="15"/>
    <w:qFormat/>
    <w:uiPriority w:val="0"/>
    <w:rPr>
      <w:rFonts w:ascii="宋体" w:hAnsi="Times New Roman" w:eastAsia="宋体" w:cs="Times New Roman"/>
      <w:snapToGrid w:val="0"/>
      <w:kern w:val="0"/>
      <w:sz w:val="21"/>
      <w:szCs w:val="20"/>
    </w:rPr>
  </w:style>
  <w:style w:type="character" w:customStyle="1" w:styleId="67">
    <w:name w:val="文档结构图 字符"/>
    <w:basedOn w:val="31"/>
    <w:link w:val="13"/>
    <w:semiHidden/>
    <w:qFormat/>
    <w:uiPriority w:val="0"/>
    <w:rPr>
      <w:rFonts w:ascii="宋体" w:hAnsi="Times New Roman" w:eastAsia="宋体" w:cs="Times New Roman"/>
      <w:snapToGrid w:val="0"/>
      <w:kern w:val="0"/>
      <w:sz w:val="21"/>
      <w:szCs w:val="20"/>
      <w:shd w:val="clear" w:color="auto" w:fill="000080"/>
    </w:rPr>
  </w:style>
  <w:style w:type="paragraph" w:customStyle="1" w:styleId="68">
    <w:name w:val="Blockquote"/>
    <w:basedOn w:val="1"/>
    <w:qFormat/>
    <w:uiPriority w:val="0"/>
    <w:pPr>
      <w:widowControl/>
      <w:spacing w:before="100" w:after="100" w:line="240" w:lineRule="auto"/>
      <w:ind w:left="360" w:right="360"/>
    </w:pPr>
    <w:rPr>
      <w:sz w:val="24"/>
      <w:lang w:val="en-CA"/>
    </w:rPr>
  </w:style>
  <w:style w:type="character" w:customStyle="1" w:styleId="69">
    <w:name w:val="标题 字符"/>
    <w:basedOn w:val="31"/>
    <w:link w:val="30"/>
    <w:qFormat/>
    <w:uiPriority w:val="0"/>
    <w:rPr>
      <w:rFonts w:ascii="宋体" w:hAnsi="Times New Roman" w:eastAsia="微软雅黑" w:cs="Times New Roman"/>
      <w:b/>
      <w:snapToGrid w:val="0"/>
      <w:kern w:val="0"/>
      <w:sz w:val="36"/>
      <w:szCs w:val="20"/>
    </w:rPr>
  </w:style>
  <w:style w:type="character" w:customStyle="1" w:styleId="70">
    <w:name w:val="页眉 字符"/>
    <w:basedOn w:val="31"/>
    <w:link w:val="21"/>
    <w:qFormat/>
    <w:uiPriority w:val="0"/>
    <w:rPr>
      <w:rFonts w:ascii="宋体" w:hAnsi="Times New Roman" w:eastAsia="宋体" w:cs="Times New Roman"/>
      <w:snapToGrid w:val="0"/>
      <w:kern w:val="0"/>
      <w:sz w:val="21"/>
      <w:szCs w:val="20"/>
    </w:rPr>
  </w:style>
  <w:style w:type="character" w:customStyle="1" w:styleId="71">
    <w:name w:val="正文文本 3 字符"/>
    <w:basedOn w:val="31"/>
    <w:link w:val="14"/>
    <w:qFormat/>
    <w:uiPriority w:val="0"/>
    <w:rPr>
      <w:rFonts w:ascii="Times New Roman" w:hAnsi="Times New Roman" w:eastAsia="宋体" w:cs="Times New Roman"/>
      <w:sz w:val="18"/>
      <w:szCs w:val="20"/>
    </w:rPr>
  </w:style>
  <w:style w:type="paragraph" w:customStyle="1" w:styleId="72">
    <w:name w:val="Body"/>
    <w:basedOn w:val="1"/>
    <w:qFormat/>
    <w:uiPriority w:val="0"/>
    <w:pPr>
      <w:widowControl/>
      <w:spacing w:before="120" w:line="240" w:lineRule="auto"/>
      <w:jc w:val="both"/>
    </w:pPr>
  </w:style>
  <w:style w:type="paragraph" w:customStyle="1" w:styleId="73">
    <w:name w:val="Paragraph4"/>
    <w:basedOn w:val="1"/>
    <w:qFormat/>
    <w:uiPriority w:val="0"/>
    <w:pPr>
      <w:spacing w:before="80" w:line="240" w:lineRule="auto"/>
      <w:ind w:left="2250"/>
      <w:jc w:val="both"/>
    </w:pPr>
  </w:style>
  <w:style w:type="paragraph" w:customStyle="1" w:styleId="74">
    <w:name w:val="Main Title"/>
    <w:basedOn w:val="1"/>
    <w:qFormat/>
    <w:uiPriority w:val="0"/>
    <w:pPr>
      <w:spacing w:before="480" w:after="60" w:line="240" w:lineRule="auto"/>
      <w:jc w:val="center"/>
    </w:pPr>
    <w:rPr>
      <w:b/>
      <w:kern w:val="28"/>
      <w:sz w:val="32"/>
    </w:rPr>
  </w:style>
  <w:style w:type="paragraph" w:customStyle="1" w:styleId="75">
    <w:name w:val="Bullet2"/>
    <w:basedOn w:val="1"/>
    <w:qFormat/>
    <w:uiPriority w:val="0"/>
    <w:pPr>
      <w:ind w:left="1440" w:hanging="360"/>
    </w:pPr>
    <w:rPr>
      <w:color w:val="000080"/>
    </w:rPr>
  </w:style>
  <w:style w:type="paragraph" w:customStyle="1" w:styleId="76">
    <w:name w:val="Paragraph2"/>
    <w:basedOn w:val="1"/>
    <w:qFormat/>
    <w:uiPriority w:val="0"/>
    <w:pPr>
      <w:spacing w:before="80"/>
      <w:ind w:left="720"/>
      <w:jc w:val="both"/>
    </w:pPr>
    <w:rPr>
      <w:color w:val="000000"/>
      <w:lang w:val="en-AU"/>
    </w:rPr>
  </w:style>
  <w:style w:type="paragraph" w:customStyle="1" w:styleId="77">
    <w:name w:val="样式2"/>
    <w:basedOn w:val="1"/>
    <w:qFormat/>
    <w:uiPriority w:val="0"/>
  </w:style>
  <w:style w:type="paragraph" w:customStyle="1" w:styleId="78">
    <w:name w:val="Bullet1"/>
    <w:basedOn w:val="1"/>
    <w:qFormat/>
    <w:uiPriority w:val="0"/>
    <w:pPr>
      <w:ind w:left="720" w:hanging="432"/>
    </w:pPr>
  </w:style>
  <w:style w:type="character" w:customStyle="1" w:styleId="79">
    <w:name w:val="页脚 字符"/>
    <w:basedOn w:val="31"/>
    <w:link w:val="20"/>
    <w:qFormat/>
    <w:uiPriority w:val="0"/>
    <w:rPr>
      <w:rFonts w:ascii="宋体" w:hAnsi="Times New Roman" w:eastAsia="宋体" w:cs="Times New Roman"/>
      <w:snapToGrid w:val="0"/>
      <w:kern w:val="0"/>
      <w:sz w:val="21"/>
      <w:szCs w:val="20"/>
    </w:rPr>
  </w:style>
  <w:style w:type="paragraph" w:customStyle="1" w:styleId="80">
    <w:name w:val="TOC Heading"/>
    <w:basedOn w:val="2"/>
    <w:next w:val="1"/>
    <w:unhideWhenUsed/>
    <w:qFormat/>
    <w:uiPriority w:val="39"/>
    <w:pPr>
      <w:keepLines/>
      <w:widowControl/>
      <w:numPr>
        <w:numId w:val="0"/>
      </w:numPr>
      <w:spacing w:before="240" w:after="0" w:line="259" w:lineRule="auto"/>
      <w:outlineLvl w:val="9"/>
    </w:pPr>
    <w:rPr>
      <w:rFonts w:ascii="Calibri Light" w:hAnsi="Calibri Light"/>
      <w:b w:val="0"/>
      <w:snapToGrid/>
      <w:color w:val="2E74B5"/>
      <w:sz w:val="32"/>
      <w:szCs w:val="32"/>
    </w:rPr>
  </w:style>
  <w:style w:type="paragraph" w:customStyle="1" w:styleId="81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.pingfang sc" w:hAnsi=".pingfang sc" w:eastAsia=".pingfang sc" w:cs=".pingfang sc"/>
      <w:color w:val="14171C"/>
      <w:kern w:val="0"/>
      <w:sz w:val="28"/>
      <w:szCs w:val="28"/>
      <w:lang w:val="en-US" w:eastAsia="zh-CN" w:bidi="ar"/>
    </w:rPr>
  </w:style>
  <w:style w:type="character" w:customStyle="1" w:styleId="82">
    <w:name w:val="s1"/>
    <w:basedOn w:val="31"/>
    <w:qFormat/>
    <w:uiPriority w:val="0"/>
    <w:rPr>
      <w:rFonts w:ascii="Helvetica Neue" w:hAnsi="Helvetica Neue" w:eastAsia="Helvetica Neue" w:cs="Helvetica Neue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290</Words>
  <Characters>1655</Characters>
  <Lines>13</Lines>
  <Paragraphs>3</Paragraphs>
  <ScaleCrop>false</ScaleCrop>
  <LinksUpToDate>false</LinksUpToDate>
  <CharactersWithSpaces>1942</CharactersWithSpaces>
  <Application>WPS Office_1.0.1.1354_F1E327BC-269C-435d-A152-05C5408002CA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2019-07-04T02:44:00Z</dcterms:created>
  <dc:creator>FREE0231</dc:creator>
  <cp:lastModifiedBy>paul</cp:lastModifiedBy>
  <dcterms:modified xsi:type="dcterms:W3CDTF">2020-03-23T17:08:37Z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2052-1.0.1.1354</vt:lpwstr>
  </property>
</Properties>
</file>