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苹方-简" w:hAnsi="苹方-简" w:eastAsia="苹方-简" w:cs="苹方-简"/>
          <w:b/>
          <w:bCs/>
          <w:iCs/>
          <w:sz w:val="28"/>
          <w:szCs w:val="28"/>
        </w:rPr>
      </w:pPr>
    </w:p>
    <w:p>
      <w:pPr>
        <w:jc w:val="center"/>
        <w:rPr>
          <w:rFonts w:hint="eastAsia" w:ascii="苹方-简" w:hAnsi="苹方-简" w:eastAsia="苹方-简" w:cs="苹方-简"/>
          <w:b/>
          <w:bCs/>
          <w:iCs/>
          <w:sz w:val="28"/>
          <w:szCs w:val="28"/>
        </w:rPr>
      </w:pPr>
    </w:p>
    <w:p>
      <w:pPr>
        <w:jc w:val="center"/>
        <w:rPr>
          <w:rFonts w:hint="eastAsia" w:ascii="苹方-简" w:hAnsi="苹方-简" w:eastAsia="苹方-简" w:cs="苹方-简"/>
          <w:b/>
          <w:bCs/>
          <w:iCs/>
          <w:sz w:val="28"/>
          <w:szCs w:val="28"/>
        </w:rPr>
      </w:pPr>
    </w:p>
    <w:p>
      <w:pPr>
        <w:jc w:val="center"/>
        <w:rPr>
          <w:rFonts w:hint="eastAsia" w:ascii="苹方-简" w:hAnsi="苹方-简" w:eastAsia="苹方-简" w:cs="苹方-简"/>
          <w:b/>
          <w:bCs/>
          <w:iCs/>
          <w:sz w:val="28"/>
          <w:szCs w:val="28"/>
        </w:rPr>
      </w:pPr>
    </w:p>
    <w:p>
      <w:pPr>
        <w:jc w:val="center"/>
        <w:rPr>
          <w:rFonts w:hint="eastAsia" w:ascii="苹方-简" w:hAnsi="苹方-简" w:eastAsia="苹方-简" w:cs="苹方-简"/>
          <w:b/>
          <w:bCs/>
          <w:iCs/>
          <w:sz w:val="28"/>
          <w:szCs w:val="28"/>
        </w:rPr>
      </w:pPr>
    </w:p>
    <w:p>
      <w:pPr>
        <w:jc w:val="center"/>
        <w:rPr>
          <w:rFonts w:hint="eastAsia" w:ascii="苹方-简" w:hAnsi="苹方-简" w:eastAsia="苹方-简" w:cs="苹方-简"/>
          <w:b/>
          <w:bCs/>
          <w:iCs/>
          <w:sz w:val="44"/>
          <w:szCs w:val="44"/>
        </w:rPr>
      </w:pPr>
      <w:r>
        <w:rPr>
          <w:rFonts w:hint="default" w:ascii="苹方-简" w:hAnsi="苹方-简" w:eastAsia="苹方-简" w:cs="苹方-简"/>
          <w:b/>
          <w:bCs/>
          <w:iCs/>
          <w:sz w:val="44"/>
          <w:szCs w:val="44"/>
        </w:rPr>
        <w:t>撮合交易二期</w:t>
      </w:r>
    </w:p>
    <w:p>
      <w:pPr>
        <w:rPr>
          <w:rFonts w:hint="eastAsia" w:ascii="苹方-简" w:hAnsi="苹方-简" w:eastAsia="苹方-简" w:cs="苹方-简"/>
          <w:bCs/>
          <w:iCs/>
          <w:color w:val="0000FF"/>
          <w:sz w:val="28"/>
          <w:szCs w:val="28"/>
        </w:rPr>
      </w:pPr>
    </w:p>
    <w:tbl>
      <w:tblPr>
        <w:tblStyle w:val="36"/>
        <w:tblW w:w="73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2107"/>
        <w:gridCol w:w="1734"/>
        <w:gridCol w:w="1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9" w:hRule="atLeast"/>
          <w:jc w:val="center"/>
        </w:trPr>
        <w:tc>
          <w:tcPr>
            <w:tcW w:w="1576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苹方-简" w:hAnsi="苹方-简" w:eastAsia="苹方-简" w:cs="苹方-简"/>
                <w:sz w:val="28"/>
                <w:szCs w:val="28"/>
              </w:rPr>
            </w:pPr>
            <w:bookmarkStart w:id="0" w:name="OLE_LINK1"/>
            <w:r>
              <w:rPr>
                <w:rFonts w:hint="eastAsia" w:ascii="苹方-简" w:hAnsi="苹方-简" w:eastAsia="苹方-简" w:cs="苹方-简"/>
                <w:sz w:val="28"/>
                <w:szCs w:val="28"/>
              </w:rPr>
              <w:t>产品名：</w:t>
            </w:r>
          </w:p>
        </w:tc>
        <w:tc>
          <w:tcPr>
            <w:tcW w:w="2107" w:type="dxa"/>
            <w:vAlign w:val="center"/>
          </w:tcPr>
          <w:p>
            <w:pPr>
              <w:spacing w:before="100" w:beforeAutospacing="1" w:after="100" w:afterAutospacing="1"/>
              <w:rPr>
                <w:rFonts w:hint="eastAsia" w:ascii="苹方-简" w:hAnsi="苹方-简" w:eastAsia="苹方-简" w:cs="苹方-简"/>
                <w:sz w:val="28"/>
                <w:szCs w:val="28"/>
              </w:rPr>
            </w:pPr>
          </w:p>
        </w:tc>
        <w:tc>
          <w:tcPr>
            <w:tcW w:w="1734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苹方-简" w:hAnsi="苹方-简" w:eastAsia="苹方-简" w:cs="苹方-简"/>
                <w:sz w:val="28"/>
                <w:szCs w:val="28"/>
              </w:rPr>
            </w:pPr>
            <w:r>
              <w:rPr>
                <w:rFonts w:hint="eastAsia" w:ascii="苹方-简" w:hAnsi="苹方-简" w:eastAsia="苹方-简" w:cs="苹方-简"/>
                <w:sz w:val="28"/>
                <w:szCs w:val="28"/>
              </w:rPr>
              <w:t>版本号：</w:t>
            </w:r>
          </w:p>
        </w:tc>
        <w:tc>
          <w:tcPr>
            <w:tcW w:w="1972" w:type="dxa"/>
            <w:vAlign w:val="center"/>
          </w:tcPr>
          <w:p>
            <w:pPr>
              <w:spacing w:before="100" w:beforeAutospacing="1" w:after="100" w:afterAutospacing="1"/>
              <w:rPr>
                <w:rFonts w:hint="eastAsia" w:ascii="苹方-简" w:hAnsi="苹方-简" w:eastAsia="苹方-简" w:cs="苹方-简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3" w:hRule="atLeast"/>
          <w:jc w:val="center"/>
        </w:trPr>
        <w:tc>
          <w:tcPr>
            <w:tcW w:w="1576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苹方-简" w:hAnsi="苹方-简" w:eastAsia="苹方-简" w:cs="苹方-简"/>
                <w:sz w:val="28"/>
                <w:szCs w:val="28"/>
              </w:rPr>
            </w:pPr>
            <w:r>
              <w:rPr>
                <w:rFonts w:hint="eastAsia" w:ascii="苹方-简" w:hAnsi="苹方-简" w:eastAsia="苹方-简" w:cs="苹方-简"/>
                <w:sz w:val="28"/>
                <w:szCs w:val="28"/>
              </w:rPr>
              <w:t>编写人：</w:t>
            </w:r>
          </w:p>
        </w:tc>
        <w:tc>
          <w:tcPr>
            <w:tcW w:w="2107" w:type="dxa"/>
            <w:vAlign w:val="center"/>
          </w:tcPr>
          <w:p>
            <w:pPr>
              <w:spacing w:before="100" w:beforeAutospacing="1" w:after="100" w:afterAutospacing="1"/>
              <w:rPr>
                <w:rFonts w:hint="eastAsia" w:ascii="苹方-简" w:hAnsi="苹方-简" w:eastAsia="苹方-简" w:cs="苹方-简"/>
                <w:sz w:val="28"/>
                <w:szCs w:val="28"/>
              </w:rPr>
            </w:pPr>
            <w:r>
              <w:rPr>
                <w:rFonts w:hint="eastAsia" w:ascii="苹方-简" w:hAnsi="苹方-简" w:eastAsia="苹方-简" w:cs="苹方-简"/>
                <w:sz w:val="28"/>
                <w:szCs w:val="28"/>
              </w:rPr>
              <w:t>黄泽浩</w:t>
            </w:r>
          </w:p>
        </w:tc>
        <w:tc>
          <w:tcPr>
            <w:tcW w:w="1734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苹方-简" w:hAnsi="苹方-简" w:eastAsia="苹方-简" w:cs="苹方-简"/>
                <w:sz w:val="28"/>
                <w:szCs w:val="28"/>
              </w:rPr>
            </w:pPr>
            <w:r>
              <w:rPr>
                <w:rFonts w:hint="eastAsia" w:ascii="苹方-简" w:hAnsi="苹方-简" w:eastAsia="苹方-简" w:cs="苹方-简"/>
                <w:sz w:val="28"/>
                <w:szCs w:val="28"/>
              </w:rPr>
              <w:t>编写日期：</w:t>
            </w:r>
          </w:p>
        </w:tc>
        <w:tc>
          <w:tcPr>
            <w:tcW w:w="1972" w:type="dxa"/>
            <w:vAlign w:val="center"/>
          </w:tcPr>
          <w:p>
            <w:pPr>
              <w:spacing w:before="100" w:beforeAutospacing="1" w:after="100" w:afterAutospacing="1"/>
              <w:rPr>
                <w:rFonts w:hint="eastAsia" w:ascii="苹方-简" w:hAnsi="苹方-简" w:eastAsia="苹方-简" w:cs="苹方-简"/>
                <w:sz w:val="28"/>
                <w:szCs w:val="28"/>
              </w:rPr>
            </w:pPr>
            <w:r>
              <w:rPr>
                <w:rFonts w:hint="eastAsia" w:ascii="苹方-简" w:hAnsi="苹方-简" w:eastAsia="苹方-简" w:cs="苹方-简"/>
                <w:sz w:val="28"/>
                <w:szCs w:val="28"/>
              </w:rPr>
              <w:t>2020-0</w:t>
            </w:r>
            <w:r>
              <w:rPr>
                <w:rFonts w:hint="default" w:ascii="苹方-简" w:hAnsi="苹方-简" w:eastAsia="苹方-简" w:cs="苹方-简"/>
                <w:sz w:val="28"/>
                <w:szCs w:val="28"/>
              </w:rPr>
              <w:t>8</w:t>
            </w:r>
            <w:r>
              <w:rPr>
                <w:rFonts w:hint="eastAsia" w:ascii="苹方-简" w:hAnsi="苹方-简" w:eastAsia="苹方-简" w:cs="苹方-简"/>
                <w:sz w:val="28"/>
                <w:szCs w:val="28"/>
              </w:rPr>
              <w:t>-</w:t>
            </w:r>
            <w:r>
              <w:rPr>
                <w:rFonts w:hint="default" w:ascii="苹方-简" w:hAnsi="苹方-简" w:eastAsia="苹方-简" w:cs="苹方-简"/>
                <w:sz w:val="28"/>
                <w:szCs w:val="28"/>
              </w:rPr>
              <w:t>26</w:t>
            </w:r>
          </w:p>
        </w:tc>
      </w:tr>
      <w:bookmarkEnd w:id="0"/>
    </w:tbl>
    <w:p>
      <w:pPr>
        <w:rPr>
          <w:rFonts w:hint="eastAsia" w:ascii="苹方-简" w:hAnsi="苹方-简" w:eastAsia="苹方-简" w:cs="苹方-简"/>
          <w:sz w:val="28"/>
          <w:szCs w:val="28"/>
        </w:rPr>
      </w:pPr>
    </w:p>
    <w:p>
      <w:pPr>
        <w:widowControl/>
        <w:spacing w:line="240" w:lineRule="auto"/>
        <w:rPr>
          <w:rFonts w:hint="eastAsia" w:ascii="苹方-简" w:hAnsi="苹方-简" w:eastAsia="苹方-简" w:cs="苹方-简"/>
          <w:sz w:val="28"/>
          <w:szCs w:val="28"/>
        </w:rPr>
      </w:pPr>
      <w:r>
        <w:rPr>
          <w:rFonts w:hint="eastAsia" w:ascii="苹方-简" w:hAnsi="苹方-简" w:eastAsia="苹方-简" w:cs="苹方-简"/>
          <w:sz w:val="28"/>
          <w:szCs w:val="28"/>
        </w:rPr>
        <w:br w:type="page"/>
      </w:r>
    </w:p>
    <w:sdt>
      <w:sdtPr>
        <w:rPr>
          <w:rFonts w:hint="eastAsia" w:ascii="苹方-简" w:hAnsi="苹方-简" w:eastAsia="苹方-简" w:cs="苹方-简"/>
          <w:snapToGrid w:val="0"/>
          <w:color w:val="auto"/>
          <w:sz w:val="28"/>
          <w:szCs w:val="28"/>
          <w:lang w:val="zh-CN"/>
        </w:rPr>
        <w:id w:val="0"/>
      </w:sdtPr>
      <w:sdtEndPr>
        <w:rPr>
          <w:rFonts w:hint="eastAsia" w:ascii="苹方-简" w:hAnsi="苹方-简" w:eastAsia="苹方-简" w:cs="苹方-简"/>
          <w:b/>
          <w:bCs/>
          <w:snapToGrid w:val="0"/>
          <w:color w:val="auto"/>
          <w:sz w:val="28"/>
          <w:szCs w:val="28"/>
          <w:lang w:val="zh-CN"/>
        </w:rPr>
      </w:sdtEndPr>
      <w:sdtContent>
        <w:p>
          <w:pPr>
            <w:pStyle w:val="81"/>
            <w:rPr>
              <w:rFonts w:hint="eastAsia" w:ascii="苹方-简" w:hAnsi="苹方-简" w:eastAsia="苹方-简" w:cs="苹方-简"/>
              <w:sz w:val="28"/>
              <w:szCs w:val="28"/>
            </w:rPr>
          </w:pPr>
          <w:r>
            <w:rPr>
              <w:rFonts w:hint="eastAsia" w:ascii="苹方-简" w:hAnsi="苹方-简" w:eastAsia="苹方-简" w:cs="苹方-简"/>
              <w:sz w:val="28"/>
              <w:szCs w:val="28"/>
              <w:lang w:val="zh-CN"/>
            </w:rPr>
            <w:t>目录</w:t>
          </w:r>
        </w:p>
        <w:p>
          <w:pPr>
            <w:pStyle w:val="22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sz w:val="28"/>
              <w:szCs w:val="28"/>
            </w:rPr>
            <w:fldChar w:fldCharType="begin"/>
          </w:r>
          <w:r>
            <w:rPr>
              <w:rFonts w:hint="eastAsia" w:ascii="苹方-简" w:hAnsi="苹方-简" w:eastAsia="苹方-简" w:cs="苹方-简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苹方-简" w:hAnsi="苹方-简" w:eastAsia="苹方-简" w:cs="苹方-简"/>
              <w:sz w:val="28"/>
              <w:szCs w:val="28"/>
            </w:rPr>
            <w:fldChar w:fldCharType="separate"/>
          </w:r>
          <w:r>
            <w:rPr>
              <w:rFonts w:hint="eastAsia" w:ascii="苹方-简" w:hAnsi="苹方-简" w:eastAsia="苹方-简" w:cs="苹方-简"/>
              <w:szCs w:val="28"/>
            </w:rPr>
            <w:fldChar w:fldCharType="begin"/>
          </w:r>
          <w:r>
            <w:rPr>
              <w:rFonts w:hint="eastAsia" w:ascii="苹方-简" w:hAnsi="苹方-简" w:eastAsia="苹方-简" w:cs="苹方-简"/>
              <w:szCs w:val="28"/>
            </w:rPr>
            <w:instrText xml:space="preserve"> HYPERLINK \l _Toc1383218290 </w:instrText>
          </w:r>
          <w:r>
            <w:rPr>
              <w:rFonts w:hint="eastAsia" w:ascii="苹方-简" w:hAnsi="苹方-简" w:eastAsia="苹方-简" w:cs="苹方-简"/>
              <w:szCs w:val="28"/>
            </w:rPr>
            <w:fldChar w:fldCharType="separate"/>
          </w:r>
          <w:r>
            <w:rPr>
              <w:rFonts w:hint="eastAsia" w:eastAsia="宋体"/>
              <w:i w:val="0"/>
              <w:szCs w:val="44"/>
              <w:lang w:eastAsia="zh-CN"/>
            </w:rPr>
            <w:t xml:space="preserve">1 </w:t>
          </w:r>
          <w:r>
            <w:rPr>
              <w:rFonts w:hint="default"/>
              <w:lang w:eastAsia="zh-CN"/>
            </w:rPr>
            <w:t>【供应商权限】添加“支付方式”设置</w:t>
          </w:r>
          <w:r>
            <w:tab/>
          </w:r>
          <w:r>
            <w:fldChar w:fldCharType="begin"/>
          </w:r>
          <w:r>
            <w:instrText xml:space="preserve"> PAGEREF _Toc1383218290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_Toc1239321255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>需求背景</w:t>
          </w:r>
          <w:r>
            <w:tab/>
          </w:r>
          <w:r>
            <w:fldChar w:fldCharType="begin"/>
          </w:r>
          <w:r>
            <w:instrText xml:space="preserve"> PAGEREF _Toc1239321255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_Toc828440532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>功能路径</w:t>
          </w:r>
          <w:r>
            <w:tab/>
          </w:r>
          <w:r>
            <w:fldChar w:fldCharType="begin"/>
          </w:r>
          <w:r>
            <w:instrText xml:space="preserve"> PAGEREF _Toc828440532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_Toc1463537823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>原型预览</w:t>
          </w:r>
          <w:r>
            <w:tab/>
          </w:r>
          <w:r>
            <w:fldChar w:fldCharType="begin"/>
          </w:r>
          <w:r>
            <w:instrText xml:space="preserve"> PAGEREF _Toc1463537823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_Toc402498423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>需求描述</w:t>
          </w:r>
          <w:r>
            <w:tab/>
          </w:r>
          <w:r>
            <w:fldChar w:fldCharType="begin"/>
          </w:r>
          <w:r>
            <w:instrText xml:space="preserve"> PAGEREF _Toc402498423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2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_Toc217507311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44"/>
            </w:rPr>
            <w:t xml:space="preserve">2 </w:t>
          </w:r>
          <w:r>
            <w:rPr>
              <w:rFonts w:hint="default"/>
            </w:rPr>
            <w:t>【开单】页面根据支付方式决定是否有“收款信息”</w:t>
          </w:r>
          <w:r>
            <w:tab/>
          </w:r>
          <w:r>
            <w:fldChar w:fldCharType="begin"/>
          </w:r>
          <w:r>
            <w:instrText xml:space="preserve"> PAGEREF _Toc217507311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_Toc628208783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t>需求背景</w:t>
          </w:r>
          <w:r>
            <w:tab/>
          </w:r>
          <w:r>
            <w:fldChar w:fldCharType="begin"/>
          </w:r>
          <w:r>
            <w:instrText xml:space="preserve"> PAGEREF _Toc628208783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_Toc1275407229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功能路径</w:t>
          </w:r>
          <w:r>
            <w:tab/>
          </w:r>
          <w:r>
            <w:fldChar w:fldCharType="begin"/>
          </w:r>
          <w:r>
            <w:instrText xml:space="preserve"> PAGEREF _Toc1275407229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_Toc1735017096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>页面原型</w:t>
          </w:r>
          <w:r>
            <w:tab/>
          </w:r>
          <w:r>
            <w:fldChar w:fldCharType="begin"/>
          </w:r>
          <w:r>
            <w:instrText xml:space="preserve"> PAGEREF _Toc1735017096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_Toc1899373506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>需求描述</w:t>
          </w:r>
          <w:r>
            <w:tab/>
          </w:r>
          <w:r>
            <w:fldChar w:fldCharType="begin"/>
          </w:r>
          <w:r>
            <w:instrText xml:space="preserve"> PAGEREF _Toc1899373506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2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_Toc426102687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44"/>
            </w:rPr>
            <w:t xml:space="preserve">3 </w:t>
          </w:r>
          <w:r>
            <w:rPr>
              <w:rFonts w:hint="default"/>
            </w:rPr>
            <w:t>【采购订单列表】添加“支付方式”字段</w:t>
          </w:r>
          <w:r>
            <w:tab/>
          </w:r>
          <w:r>
            <w:fldChar w:fldCharType="begin"/>
          </w:r>
          <w:r>
            <w:instrText xml:space="preserve"> PAGEREF _Toc426102687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_Toc1797381311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 w:ascii="宋体" w:hAnsi="Times New Roman" w:eastAsia="宋体" w:cs="Times New Roman"/>
              <w:snapToGrid w:val="0"/>
              <w:kern w:val="0"/>
              <w:szCs w:val="20"/>
              <w:lang w:val="en-US" w:eastAsia="zh-CN" w:bidi="ar-SA"/>
            </w:rPr>
            <w:t>需求背景</w:t>
          </w:r>
          <w:r>
            <w:tab/>
          </w:r>
          <w:r>
            <w:fldChar w:fldCharType="begin"/>
          </w:r>
          <w:r>
            <w:instrText xml:space="preserve"> PAGEREF _Toc1797381311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_Toc2082715275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功能路径</w:t>
          </w:r>
          <w:r>
            <w:tab/>
          </w:r>
          <w:r>
            <w:fldChar w:fldCharType="begin"/>
          </w:r>
          <w:r>
            <w:instrText xml:space="preserve"> PAGEREF _Toc2082715275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_Toc212180825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>页面原型</w:t>
          </w:r>
          <w:r>
            <w:tab/>
          </w:r>
          <w:r>
            <w:fldChar w:fldCharType="begin"/>
          </w:r>
          <w:r>
            <w:instrText xml:space="preserve"> PAGEREF _Toc212180825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_Toc1300271755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t>需求描述</w:t>
          </w:r>
          <w:r>
            <w:tab/>
          </w:r>
          <w:r>
            <w:fldChar w:fldCharType="begin"/>
          </w:r>
          <w:r>
            <w:instrText xml:space="preserve"> PAGEREF _Toc1300271755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2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_Toc873794413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 w:ascii="苹方-简" w:hAnsi="苹方-简" w:eastAsia="宋体" w:cs="苹方-简"/>
              <w:i w:val="0"/>
              <w:szCs w:val="44"/>
              <w:lang w:val="en-US" w:eastAsia="zh-CN"/>
            </w:rPr>
            <w:t xml:space="preserve">4 </w:t>
          </w:r>
          <w:r>
            <w:rPr>
              <w:rFonts w:hint="default" w:ascii="苹方-简" w:hAnsi="苹方-简" w:eastAsia="苹方-简" w:cs="苹方-简"/>
              <w:szCs w:val="44"/>
              <w:lang w:eastAsia="zh-CN"/>
            </w:rPr>
            <w:t>账单分账</w:t>
          </w:r>
          <w:r>
            <w:tab/>
          </w:r>
          <w:r>
            <w:fldChar w:fldCharType="begin"/>
          </w:r>
          <w:r>
            <w:instrText xml:space="preserve"> PAGEREF _Toc873794413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_Toc1369521105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 w:ascii="宋体"/>
              <w:lang w:eastAsia="zh-CN"/>
            </w:rPr>
            <w:t>需求背景</w:t>
          </w:r>
          <w:r>
            <w:tab/>
          </w:r>
          <w:r>
            <w:fldChar w:fldCharType="begin"/>
          </w:r>
          <w:r>
            <w:instrText xml:space="preserve"> PAGEREF _Toc1369521105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_Toc811483189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 w:ascii="宋体"/>
              <w:lang w:eastAsia="zh-CN"/>
            </w:rPr>
            <w:t>功能路径</w:t>
          </w:r>
          <w:r>
            <w:tab/>
          </w:r>
          <w:r>
            <w:fldChar w:fldCharType="begin"/>
          </w:r>
          <w:r>
            <w:instrText xml:space="preserve"> PAGEREF _Toc811483189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_Toc2076799073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 w:ascii="宋体"/>
              <w:lang w:eastAsia="zh-CN"/>
            </w:rPr>
            <w:t>页面原型</w:t>
          </w:r>
          <w:r>
            <w:tab/>
          </w:r>
          <w:r>
            <w:fldChar w:fldCharType="begin"/>
          </w:r>
          <w:r>
            <w:instrText xml:space="preserve"> PAGEREF _Toc2076799073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_Toc1710305220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>需求描述</w:t>
          </w:r>
          <w:r>
            <w:tab/>
          </w:r>
          <w:r>
            <w:fldChar w:fldCharType="begin"/>
          </w:r>
          <w:r>
            <w:instrText xml:space="preserve"> PAGEREF _Toc1710305220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2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_Toc1031217445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 w:ascii="苹方-简" w:hAnsi="苹方-简" w:eastAsia="宋体" w:cs="苹方-简"/>
              <w:i w:val="0"/>
              <w:szCs w:val="44"/>
              <w:lang w:eastAsia="zh-CN"/>
            </w:rPr>
            <w:t xml:space="preserve">5 </w:t>
          </w:r>
          <w:r>
            <w:rPr>
              <w:rFonts w:hint="default" w:ascii="苹方-简" w:hAnsi="苹方-简" w:eastAsia="苹方-简" w:cs="苹方-简"/>
              <w:szCs w:val="44"/>
              <w:lang w:eastAsia="zh-CN"/>
            </w:rPr>
            <w:t>爆版APP【订单】和采购版【采购记录】添加“分账”信息</w:t>
          </w:r>
          <w:r>
            <w:tab/>
          </w:r>
          <w:r>
            <w:fldChar w:fldCharType="begin"/>
          </w:r>
          <w:r>
            <w:instrText xml:space="preserve"> PAGEREF _Toc1031217445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_Toc1478566825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 w:ascii="宋体"/>
              <w:lang w:eastAsia="zh-CN"/>
            </w:rPr>
            <w:t>需求背景</w:t>
          </w:r>
          <w:r>
            <w:tab/>
          </w:r>
          <w:r>
            <w:fldChar w:fldCharType="begin"/>
          </w:r>
          <w:r>
            <w:instrText xml:space="preserve"> PAGEREF _Toc1478566825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_Toc1739348338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 w:ascii="宋体"/>
              <w:lang w:eastAsia="zh-CN"/>
            </w:rPr>
            <w:t>功能路径</w:t>
          </w:r>
          <w:r>
            <w:tab/>
          </w:r>
          <w:r>
            <w:fldChar w:fldCharType="begin"/>
          </w:r>
          <w:r>
            <w:instrText xml:space="preserve"> PAGEREF _Toc1739348338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_Toc1680113802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 w:ascii="宋体"/>
              <w:lang w:eastAsia="zh-CN"/>
            </w:rPr>
            <w:t>页面原型</w:t>
          </w:r>
          <w:r>
            <w:tab/>
          </w:r>
          <w:r>
            <w:fldChar w:fldCharType="begin"/>
          </w:r>
          <w:r>
            <w:instrText xml:space="preserve"> PAGEREF _Toc1680113802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_Toc410195811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>需求描述</w:t>
          </w:r>
          <w:r>
            <w:tab/>
          </w:r>
          <w:r>
            <w:fldChar w:fldCharType="begin"/>
          </w:r>
          <w:r>
            <w:instrText xml:space="preserve"> PAGEREF _Toc410195811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2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_Toc738488607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44"/>
              <w:lang w:eastAsia="zh-CN"/>
            </w:rPr>
            <w:t xml:space="preserve">6 </w:t>
          </w:r>
          <w:r>
            <w:rPr>
              <w:rFonts w:hint="default"/>
              <w:lang w:eastAsia="zh-CN"/>
            </w:rPr>
            <w:t>【一手商家子账户】充值、提现</w:t>
          </w:r>
          <w:r>
            <w:tab/>
          </w:r>
          <w:r>
            <w:fldChar w:fldCharType="begin"/>
          </w:r>
          <w:r>
            <w:instrText xml:space="preserve"> PAGEREF _Toc738488607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_Toc1470021836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>需求背景</w:t>
          </w:r>
          <w:r>
            <w:tab/>
          </w:r>
          <w:r>
            <w:fldChar w:fldCharType="begin"/>
          </w:r>
          <w:r>
            <w:instrText xml:space="preserve"> PAGEREF _Toc1470021836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_Toc2005122564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>功能路径</w:t>
          </w:r>
          <w:r>
            <w:tab/>
          </w:r>
          <w:r>
            <w:fldChar w:fldCharType="begin"/>
          </w:r>
          <w:r>
            <w:instrText xml:space="preserve"> PAGEREF _Toc2005122564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_Toc1781544424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>原型预览</w:t>
          </w:r>
          <w:r>
            <w:tab/>
          </w:r>
          <w:r>
            <w:fldChar w:fldCharType="begin"/>
          </w:r>
          <w:r>
            <w:instrText xml:space="preserve"> PAGEREF _Toc1781544424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_Toc52644047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>需求描述</w:t>
          </w:r>
          <w:r>
            <w:tab/>
          </w:r>
          <w:r>
            <w:fldChar w:fldCharType="begin"/>
          </w:r>
          <w:r>
            <w:instrText xml:space="preserve"> PAGEREF _Toc52644047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2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_Toc25235365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44"/>
            </w:rPr>
            <w:t xml:space="preserve">7 </w:t>
          </w:r>
          <w:r>
            <w:rPr>
              <w:rFonts w:hint="default"/>
            </w:rPr>
            <w:t>爆版APP上款小优化（和分账无关）</w:t>
          </w:r>
          <w:r>
            <w:tab/>
          </w:r>
          <w:r>
            <w:fldChar w:fldCharType="begin"/>
          </w:r>
          <w:r>
            <w:instrText xml:space="preserve"> PAGEREF _Toc25235365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_Toc1076501096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 w:ascii="宋体" w:hAnsi="Times New Roman" w:eastAsia="宋体" w:cs="Times New Roman"/>
              <w:snapToGrid w:val="0"/>
              <w:kern w:val="0"/>
              <w:szCs w:val="20"/>
              <w:lang w:val="en-US" w:eastAsia="zh-CN" w:bidi="ar-SA"/>
            </w:rPr>
            <w:t>需求背景</w:t>
          </w:r>
          <w:r>
            <w:tab/>
          </w:r>
          <w:r>
            <w:fldChar w:fldCharType="begin"/>
          </w:r>
          <w:r>
            <w:instrText xml:space="preserve"> PAGEREF _Toc1076501096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_Toc204194497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功能路径</w:t>
          </w:r>
          <w:r>
            <w:tab/>
          </w:r>
          <w:r>
            <w:fldChar w:fldCharType="begin"/>
          </w:r>
          <w:r>
            <w:instrText xml:space="preserve"> PAGEREF _Toc204194497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4400"/>
            </w:tabs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begin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instrText xml:space="preserve"> HYPERLINK \l _Toc218043173 </w:instrText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separate"/>
          </w:r>
          <w:r>
            <w:t>需求描述</w:t>
          </w:r>
          <w:r>
            <w:tab/>
          </w:r>
          <w:r>
            <w:fldChar w:fldCharType="begin"/>
          </w:r>
          <w:r>
            <w:instrText xml:space="preserve"> PAGEREF _Toc218043173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  <w:p>
          <w:pPr>
            <w:rPr>
              <w:rFonts w:hint="eastAsia" w:ascii="苹方-简" w:hAnsi="苹方-简" w:eastAsia="苹方-简" w:cs="苹方-简"/>
              <w:sz w:val="28"/>
              <w:szCs w:val="28"/>
            </w:rPr>
          </w:pPr>
          <w:r>
            <w:rPr>
              <w:rFonts w:hint="eastAsia" w:ascii="苹方-简" w:hAnsi="苹方-简" w:eastAsia="苹方-简" w:cs="苹方-简"/>
              <w:bCs/>
              <w:szCs w:val="28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rPr>
          <w:rFonts w:hint="eastAsia" w:ascii="苹方-简" w:hAnsi="苹方-简" w:eastAsia="苹方-简" w:cs="苹方-简"/>
          <w:sz w:val="28"/>
          <w:szCs w:val="28"/>
        </w:rPr>
      </w:pPr>
      <w:r>
        <w:rPr>
          <w:rFonts w:hint="eastAsia" w:ascii="苹方-简" w:hAnsi="苹方-简" w:eastAsia="苹方-简" w:cs="苹方-简"/>
          <w:sz w:val="28"/>
          <w:szCs w:val="28"/>
        </w:rPr>
        <w:br w:type="page"/>
      </w:r>
    </w:p>
    <w:p>
      <w:pPr>
        <w:pStyle w:val="2"/>
        <w:rPr>
          <w:rFonts w:hint="eastAsia"/>
          <w:lang w:eastAsia="zh-CN"/>
        </w:rPr>
      </w:pPr>
      <w:bookmarkStart w:id="1" w:name="_Toc1383218290"/>
      <w:r>
        <w:rPr>
          <w:rFonts w:hint="default"/>
          <w:lang w:eastAsia="zh-CN"/>
        </w:rPr>
        <w:t>【供应商权限】添加“支付方式”设置</w:t>
      </w:r>
      <w:bookmarkEnd w:id="1"/>
    </w:p>
    <w:p>
      <w:pPr>
        <w:pStyle w:val="3"/>
        <w:rPr>
          <w:rFonts w:hint="eastAsia"/>
          <w:lang w:eastAsia="zh-CN"/>
        </w:rPr>
      </w:pPr>
      <w:bookmarkStart w:id="2" w:name="_Toc1239321255"/>
      <w:r>
        <w:rPr>
          <w:rFonts w:hint="default"/>
          <w:lang w:eastAsia="zh-CN"/>
        </w:rPr>
        <w:t>需求背景</w:t>
      </w:r>
      <w:bookmarkEnd w:id="2"/>
    </w:p>
    <w:p>
      <w:pPr>
        <w:rPr>
          <w:rFonts w:hint="default"/>
          <w:sz w:val="28"/>
          <w:szCs w:val="28"/>
          <w:highlight w:val="none"/>
        </w:rPr>
      </w:pPr>
      <w:r>
        <w:rPr>
          <w:rFonts w:hint="eastAsia"/>
          <w:sz w:val="28"/>
          <w:szCs w:val="28"/>
        </w:rPr>
        <w:t>撮</w:t>
      </w:r>
      <w:r>
        <w:rPr>
          <w:rFonts w:hint="default"/>
          <w:sz w:val="28"/>
          <w:szCs w:val="28"/>
        </w:rPr>
        <w:t>通过设置，选择供应商的支付方式，需要点时间推广，逐步将所有供应商的交易方式切换为“分账”模式</w:t>
      </w:r>
      <w:r>
        <w:rPr>
          <w:rFonts w:hint="default"/>
          <w:sz w:val="28"/>
          <w:szCs w:val="28"/>
          <w:highlight w:val="none"/>
        </w:rPr>
        <w:t>；</w:t>
      </w:r>
    </w:p>
    <w:p>
      <w:pPr>
        <w:rPr>
          <w:rFonts w:hint="default"/>
          <w:sz w:val="28"/>
          <w:szCs w:val="28"/>
          <w:highlight w:val="none"/>
        </w:rPr>
      </w:pPr>
    </w:p>
    <w:p>
      <w:pPr>
        <w:pStyle w:val="3"/>
        <w:rPr>
          <w:rFonts w:hint="default"/>
          <w:lang w:eastAsia="zh-CN"/>
        </w:rPr>
      </w:pPr>
      <w:bookmarkStart w:id="3" w:name="_Toc828440532"/>
      <w:r>
        <w:rPr>
          <w:rFonts w:hint="default"/>
          <w:lang w:eastAsia="zh-CN"/>
        </w:rPr>
        <w:t>功能路径</w:t>
      </w:r>
      <w:bookmarkEnd w:id="3"/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功能路径：ERP后台/供应商管理/供应商权限</w:t>
      </w:r>
    </w:p>
    <w:p>
      <w:pPr>
        <w:rPr>
          <w:rFonts w:hint="default"/>
          <w:sz w:val="28"/>
          <w:szCs w:val="28"/>
        </w:rPr>
      </w:pPr>
    </w:p>
    <w:p>
      <w:pPr>
        <w:pStyle w:val="3"/>
        <w:rPr>
          <w:rFonts w:hint="default"/>
          <w:b/>
          <w:bCs/>
          <w:szCs w:val="32"/>
          <w:lang w:eastAsia="zh-CN"/>
        </w:rPr>
      </w:pPr>
      <w:bookmarkStart w:id="4" w:name="_Toc1463537823"/>
      <w:r>
        <w:rPr>
          <w:rFonts w:hint="default"/>
          <w:lang w:eastAsia="zh-CN"/>
        </w:rPr>
        <w:t>原型预览</w:t>
      </w:r>
      <w:bookmarkEnd w:id="4"/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【供应商权限】</w:t>
      </w:r>
    </w:p>
    <w:p>
      <w:pPr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9140190" cy="3917315"/>
            <wp:effectExtent l="0" t="0" r="3810" b="196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391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eastAsia="zh-CN"/>
        </w:rPr>
      </w:pPr>
      <w:bookmarkStart w:id="5" w:name="_Toc402498423"/>
      <w:r>
        <w:rPr>
          <w:rFonts w:hint="default"/>
          <w:lang w:eastAsia="zh-CN"/>
        </w:rPr>
        <w:t>需求描述</w:t>
      </w:r>
      <w:bookmarkEnd w:id="5"/>
    </w:p>
    <w:tbl>
      <w:tblPr>
        <w:tblStyle w:val="37"/>
        <w:tblW w:w="14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9"/>
        <w:gridCol w:w="11477"/>
      </w:tblGrid>
      <w:tr>
        <w:tc>
          <w:tcPr>
            <w:tcW w:w="3139" w:type="dxa"/>
          </w:tcPr>
          <w:p>
            <w:pPr>
              <w:jc w:val="left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【供应商权限】编辑</w:t>
            </w:r>
          </w:p>
        </w:tc>
        <w:tc>
          <w:tcPr>
            <w:tcW w:w="11477" w:type="dxa"/>
          </w:tcPr>
          <w:p>
            <w:pPr>
              <w:numPr>
                <w:ilvl w:val="0"/>
                <w:numId w:val="2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添加“支付方式”选项：转账支付（默认项）、分账；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切换至“分账”并“提交”时判断供应商所绑定的爆版店铺是否已有“商家子账户”：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①有——提交成功；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②没有——提示“爆版店铺未开通商家子账户”；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③成功切换为“分账”支付方式后，则设置想置灰不能操作；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④切换支付方式后，需要次日才生效；</w:t>
            </w:r>
            <w:bookmarkStart w:id="31" w:name="_GoBack"/>
            <w:bookmarkEnd w:id="3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39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【供应商列表】首页</w:t>
            </w:r>
          </w:p>
        </w:tc>
        <w:tc>
          <w:tcPr>
            <w:tcW w:w="11477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添加“支付方式”表头（包括EXCEL表头）；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添加“支付方式”筛选功能：全部、转账支付、分账；</w:t>
            </w:r>
          </w:p>
        </w:tc>
      </w:tr>
    </w:tbl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pStyle w:val="2"/>
      </w:pPr>
      <w:bookmarkStart w:id="6" w:name="_Toc217507311"/>
      <w:r>
        <w:rPr>
          <w:rFonts w:hint="default"/>
        </w:rPr>
        <w:t>【开单】页面根据支付方式决定是否有“收款信息”</w:t>
      </w:r>
      <w:bookmarkEnd w:id="6"/>
    </w:p>
    <w:p>
      <w:pPr>
        <w:pStyle w:val="3"/>
      </w:pPr>
      <w:bookmarkStart w:id="7" w:name="_Toc628208783"/>
      <w:r>
        <w:t>需求背景</w:t>
      </w:r>
      <w:bookmarkEnd w:id="7"/>
    </w:p>
    <w:p>
      <w:pPr>
        <w:rPr>
          <w:rFonts w:hint="eastAsia"/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商</w:t>
      </w:r>
      <w:r>
        <w:rPr>
          <w:rFonts w:hint="default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交易方式为“分账”的商家均已开通“商家子账户”，所有货款均打入该账户，商家可自由提取。故不再需要一手指定转账的银行账号信息；</w:t>
      </w:r>
    </w:p>
    <w:p>
      <w:pPr>
        <w:rPr>
          <w:rFonts w:hint="eastAsia"/>
        </w:rPr>
      </w:pPr>
    </w:p>
    <w:p>
      <w:pPr>
        <w:pStyle w:val="3"/>
      </w:pPr>
      <w:bookmarkStart w:id="8" w:name="_Toc1275407229"/>
      <w:r>
        <w:rPr>
          <w:rFonts w:hint="eastAsia"/>
        </w:rPr>
        <w:t>功能路径</w:t>
      </w:r>
      <w:bookmarkEnd w:id="8"/>
    </w:p>
    <w:p>
      <w:pPr>
        <w:rPr>
          <w:rFonts w:hint="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页面路径：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①采购APP/开单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②采购APP/开单/回执/待修改</w:t>
      </w:r>
    </w:p>
    <w:p>
      <w:pPr>
        <w:rPr>
          <w:rFonts w:hint="eastAsia"/>
          <w:sz w:val="28"/>
          <w:szCs w:val="28"/>
          <w:lang w:val="zh-CN" w:eastAsia="zh-CN"/>
        </w:rPr>
      </w:pPr>
      <w:r>
        <w:rPr>
          <w:rFonts w:hint="default"/>
          <w:sz w:val="28"/>
          <w:szCs w:val="28"/>
          <w:lang w:eastAsia="zh-CN"/>
        </w:rPr>
        <w:t>③</w:t>
      </w:r>
      <w:r>
        <w:rPr>
          <w:rFonts w:hint="eastAsia"/>
          <w:sz w:val="28"/>
          <w:szCs w:val="28"/>
          <w:lang w:val="zh-CN" w:eastAsia="zh-CN"/>
        </w:rPr>
        <w:t>爆版</w:t>
      </w:r>
      <w:r>
        <w:rPr>
          <w:rFonts w:hint="default"/>
          <w:sz w:val="28"/>
          <w:szCs w:val="28"/>
          <w:lang w:eastAsia="zh-CN"/>
        </w:rPr>
        <w:t>APP</w:t>
      </w:r>
      <w:r>
        <w:rPr>
          <w:rFonts w:hint="eastAsia"/>
          <w:sz w:val="28"/>
          <w:szCs w:val="28"/>
          <w:lang w:val="zh-CN" w:eastAsia="zh-CN"/>
        </w:rPr>
        <w:t>/</w:t>
      </w:r>
      <w:r>
        <w:rPr>
          <w:rFonts w:hint="default"/>
          <w:sz w:val="28"/>
          <w:szCs w:val="28"/>
          <w:lang w:eastAsia="zh-CN"/>
        </w:rPr>
        <w:t>首页/</w:t>
      </w:r>
      <w:r>
        <w:rPr>
          <w:rFonts w:hint="eastAsia"/>
          <w:sz w:val="28"/>
          <w:szCs w:val="28"/>
          <w:lang w:val="zh-CN" w:eastAsia="zh-CN"/>
        </w:rPr>
        <w:t>一手订货单/开单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④爆版APP/首页/配货/一手配货单/配货</w:t>
      </w:r>
    </w:p>
    <w:p>
      <w:pPr>
        <w:rPr>
          <w:rFonts w:hint="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default"/>
          <w:sz w:val="28"/>
          <w:szCs w:val="28"/>
          <w:lang w:eastAsia="zh-CN"/>
        </w:rPr>
        <w:t>⑤ERP后台/采购管理/采购核单</w:t>
      </w:r>
    </w:p>
    <w:p>
      <w:pPr>
        <w:rPr>
          <w:rFonts w:hint="eastAsia"/>
          <w:lang w:val="zh-CN"/>
        </w:rPr>
      </w:pPr>
    </w:p>
    <w:p>
      <w:pPr>
        <w:pStyle w:val="3"/>
        <w:rPr>
          <w:rFonts w:hint="default"/>
        </w:rPr>
      </w:pPr>
      <w:bookmarkStart w:id="9" w:name="_Toc1735017096"/>
      <w:r>
        <w:rPr>
          <w:rFonts w:hint="default"/>
        </w:rPr>
        <w:t>页面原型</w:t>
      </w:r>
      <w:bookmarkEnd w:id="9"/>
    </w:p>
    <w:p>
      <w:pPr>
        <w:rPr>
          <w:rFonts w:hint="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9117965" cy="3766820"/>
            <wp:effectExtent l="0" t="0" r="635" b="177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796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default"/>
        </w:rPr>
      </w:pPr>
      <w:bookmarkStart w:id="10" w:name="_Toc1899373506"/>
      <w:r>
        <w:rPr>
          <w:rFonts w:hint="default"/>
        </w:rPr>
        <w:t>需求描述</w:t>
      </w:r>
      <w:bookmarkEnd w:id="10"/>
    </w:p>
    <w:tbl>
      <w:tblPr>
        <w:tblStyle w:val="37"/>
        <w:tblW w:w="14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11333"/>
      </w:tblGrid>
      <w:tr>
        <w:tc>
          <w:tcPr>
            <w:tcW w:w="3283" w:type="dxa"/>
          </w:tcPr>
          <w:p>
            <w:p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开单页面去掉“收款信息”</w:t>
            </w:r>
          </w:p>
        </w:tc>
        <w:tc>
          <w:tcPr>
            <w:tcW w:w="11333" w:type="dxa"/>
          </w:tcPr>
          <w:p>
            <w:pPr>
              <w:numPr>
                <w:ilvl w:val="0"/>
                <w:numId w:val="3"/>
              </w:num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若供应商的支付方式为“分账”，则上面提到的5个开单页面里，隐藏掉“收款人信息”功能项。若为“转账支付”则保持现状；</w:t>
            </w:r>
          </w:p>
        </w:tc>
      </w:tr>
    </w:tbl>
    <w:p>
      <w:pPr>
        <w:rPr>
          <w:rFonts w:hint="default"/>
        </w:rPr>
      </w:pPr>
    </w:p>
    <w:p/>
    <w:p>
      <w:pPr>
        <w:pStyle w:val="2"/>
      </w:pPr>
      <w:bookmarkStart w:id="11" w:name="_Toc426102687"/>
      <w:r>
        <w:rPr>
          <w:rFonts w:hint="default"/>
        </w:rPr>
        <w:t>【采购订单列表】添加“支付方式”字段</w:t>
      </w:r>
      <w:bookmarkEnd w:id="11"/>
    </w:p>
    <w:p>
      <w:pPr>
        <w:pStyle w:val="4"/>
        <w:numPr>
          <w:ilvl w:val="2"/>
          <w:numId w:val="0"/>
        </w:numPr>
        <w:tabs>
          <w:tab w:val="left" w:pos="0"/>
        </w:tabs>
        <w:rPr>
          <w:rFonts w:hint="eastAsia" w:ascii="宋体" w:hAnsi="Times New Roman" w:eastAsia="宋体" w:cs="Times New Roman"/>
          <w:snapToGrid w:val="0"/>
          <w:kern w:val="0"/>
          <w:sz w:val="32"/>
          <w:szCs w:val="20"/>
          <w:lang w:val="en-US" w:eastAsia="zh-CN" w:bidi="ar-SA"/>
        </w:rPr>
      </w:pPr>
      <w:bookmarkStart w:id="12" w:name="_Toc1797381311"/>
      <w:r>
        <w:rPr>
          <w:rFonts w:hint="eastAsia" w:ascii="宋体" w:hAnsi="Times New Roman" w:eastAsia="宋体" w:cs="Times New Roman"/>
          <w:snapToGrid w:val="0"/>
          <w:kern w:val="0"/>
          <w:sz w:val="32"/>
          <w:szCs w:val="20"/>
          <w:lang w:val="en-US" w:eastAsia="zh-CN" w:bidi="ar-SA"/>
        </w:rPr>
        <w:t>需求背景</w:t>
      </w:r>
      <w:bookmarkEnd w:id="12"/>
    </w:p>
    <w:p>
      <w:pPr>
        <w:rPr>
          <w:rFonts w:hint="default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采购订单需要记录每笔订单的支付方式，并同时影响订单详情的“银行收款信息”的显示与否；</w:t>
      </w:r>
    </w:p>
    <w:p>
      <w:pP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3"/>
      </w:pPr>
      <w:bookmarkStart w:id="13" w:name="_Toc2082715275"/>
      <w:r>
        <w:rPr>
          <w:rFonts w:hint="eastAsia"/>
        </w:rPr>
        <w:t>功能路径</w:t>
      </w:r>
      <w:bookmarkEnd w:id="13"/>
    </w:p>
    <w:p>
      <w:pPr>
        <w:rPr>
          <w:rFonts w:hint="eastAsia"/>
          <w:lang w:val="zh-CN"/>
        </w:rPr>
      </w:pPr>
      <w:r>
        <w:rPr>
          <w:rFonts w:hint="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页面路径：</w:t>
      </w:r>
      <w:r>
        <w:rPr>
          <w:rFonts w:hint="default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ERP后台/采购管理/采购订单/采购订单列表</w:t>
      </w:r>
    </w:p>
    <w:p>
      <w:pPr>
        <w:rPr>
          <w:rFonts w:hint="eastAsia"/>
          <w:lang w:val="zh-CN"/>
        </w:rPr>
      </w:pPr>
    </w:p>
    <w:p>
      <w:pPr>
        <w:pStyle w:val="3"/>
        <w:rPr>
          <w:rFonts w:hint="default"/>
        </w:rPr>
      </w:pPr>
      <w:bookmarkStart w:id="14" w:name="_Toc212180825"/>
      <w:r>
        <w:rPr>
          <w:rFonts w:hint="default"/>
        </w:rPr>
        <w:t>页面原型</w:t>
      </w:r>
      <w:bookmarkEnd w:id="14"/>
    </w:p>
    <w:p>
      <w:r>
        <w:drawing>
          <wp:inline distT="0" distB="0" distL="114300" distR="114300">
            <wp:extent cx="9128125" cy="2971800"/>
            <wp:effectExtent l="0" t="0" r="15875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28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114540" cy="6512560"/>
            <wp:effectExtent l="0" t="0" r="22860" b="1524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651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</w:pPr>
      <w:bookmarkStart w:id="15" w:name="_Toc1300271755"/>
      <w:r>
        <w:t>需求描述</w:t>
      </w:r>
      <w:bookmarkEnd w:id="15"/>
    </w:p>
    <w:tbl>
      <w:tblPr>
        <w:tblStyle w:val="37"/>
        <w:tblW w:w="14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11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83" w:type="dxa"/>
          </w:tcPr>
          <w:p>
            <w:p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采购订单首页</w:t>
            </w:r>
          </w:p>
        </w:tc>
        <w:tc>
          <w:tcPr>
            <w:tcW w:w="11333" w:type="dxa"/>
          </w:tcPr>
          <w:p>
            <w:pPr>
              <w:numPr>
                <w:ilvl w:val="0"/>
                <w:numId w:val="4"/>
              </w:num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添加“支付方式”筛选功能：全部、转账支付、分账；</w:t>
            </w:r>
          </w:p>
          <w:p>
            <w:pPr>
              <w:numPr>
                <w:ilvl w:val="0"/>
                <w:numId w:val="4"/>
              </w:num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添加列表表头（包括Excel表头）；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83" w:type="dxa"/>
          </w:tcPr>
          <w:p>
            <w:p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采购订单明细</w:t>
            </w:r>
          </w:p>
        </w:tc>
        <w:tc>
          <w:tcPr>
            <w:tcW w:w="11333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所有状态下的订单明细：</w:t>
            </w:r>
          </w:p>
          <w:p>
            <w:pPr>
              <w:numPr>
                <w:ilvl w:val="0"/>
                <w:numId w:val="5"/>
              </w:num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顶部的采购单状态区里，添加“交易方式”和“支付方式”记录；</w:t>
            </w:r>
          </w:p>
          <w:p>
            <w:pPr>
              <w:numPr>
                <w:ilvl w:val="0"/>
                <w:numId w:val="5"/>
              </w:num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若采购单的支付方式为“分账”，则去掉“付款信息（收款人信息）”；</w:t>
            </w:r>
          </w:p>
        </w:tc>
      </w:tr>
    </w:tbl>
    <w:p/>
    <w:p/>
    <w:p>
      <w:pPr>
        <w:pStyle w:val="2"/>
        <w:rPr>
          <w:rFonts w:hint="eastAsia" w:ascii="苹方-简" w:hAnsi="苹方-简" w:eastAsia="苹方-简" w:cs="苹方-简"/>
          <w:sz w:val="44"/>
          <w:szCs w:val="44"/>
          <w:lang w:val="en-US" w:eastAsia="zh-CN"/>
        </w:rPr>
      </w:pPr>
      <w:bookmarkStart w:id="16" w:name="_Toc873794413"/>
      <w:r>
        <w:rPr>
          <w:rFonts w:hint="default" w:ascii="苹方-简" w:hAnsi="苹方-简" w:eastAsia="苹方-简" w:cs="苹方-简"/>
          <w:sz w:val="44"/>
          <w:szCs w:val="44"/>
          <w:lang w:eastAsia="zh-CN"/>
        </w:rPr>
        <w:t>账单分账</w:t>
      </w:r>
      <w:bookmarkEnd w:id="16"/>
    </w:p>
    <w:p>
      <w:pPr>
        <w:pStyle w:val="3"/>
        <w:rPr>
          <w:rFonts w:hint="eastAsia" w:ascii="宋体"/>
          <w:lang w:eastAsia="zh-CN"/>
        </w:rPr>
      </w:pPr>
      <w:bookmarkStart w:id="17" w:name="_Toc1369521105"/>
      <w:r>
        <w:rPr>
          <w:rFonts w:hint="default" w:ascii="宋体"/>
          <w:lang w:eastAsia="zh-CN"/>
        </w:rPr>
        <w:t>需求背景</w:t>
      </w:r>
      <w:bookmarkEnd w:id="17"/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向供应商支付货号的渠道；</w:t>
      </w:r>
    </w:p>
    <w:p>
      <w:pPr>
        <w:rPr>
          <w:rFonts w:hint="default" w:ascii="宋体"/>
          <w:lang w:eastAsia="zh-CN"/>
        </w:rPr>
      </w:pPr>
    </w:p>
    <w:p>
      <w:pPr>
        <w:pStyle w:val="3"/>
        <w:rPr>
          <w:rFonts w:hint="default" w:ascii="宋体"/>
          <w:lang w:eastAsia="zh-CN"/>
        </w:rPr>
      </w:pPr>
      <w:bookmarkStart w:id="18" w:name="_Toc811483189"/>
      <w:r>
        <w:rPr>
          <w:rFonts w:hint="default" w:ascii="宋体"/>
          <w:lang w:eastAsia="zh-CN"/>
        </w:rPr>
        <w:t>功能路径</w:t>
      </w:r>
      <w:bookmarkEnd w:id="18"/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ERP后台/财务管理/账单列表</w:t>
      </w:r>
    </w:p>
    <w:p>
      <w:pPr>
        <w:rPr>
          <w:rFonts w:hint="default"/>
          <w:sz w:val="28"/>
          <w:szCs w:val="28"/>
          <w:lang w:eastAsia="zh-CN"/>
        </w:rPr>
      </w:pPr>
    </w:p>
    <w:p>
      <w:pPr>
        <w:pStyle w:val="3"/>
        <w:rPr>
          <w:rFonts w:hint="default" w:ascii="宋体"/>
          <w:lang w:eastAsia="zh-CN"/>
        </w:rPr>
      </w:pPr>
      <w:bookmarkStart w:id="19" w:name="_Toc2076799073"/>
      <w:r>
        <w:rPr>
          <w:rFonts w:hint="default" w:ascii="宋体"/>
          <w:lang w:eastAsia="zh-CN"/>
        </w:rPr>
        <w:t>页面原型</w:t>
      </w:r>
      <w:bookmarkEnd w:id="19"/>
    </w:p>
    <w:p>
      <w:r>
        <w:drawing>
          <wp:inline distT="0" distB="0" distL="114300" distR="114300">
            <wp:extent cx="9116060" cy="4584700"/>
            <wp:effectExtent l="0" t="0" r="2540" b="12700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606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123045" cy="3402330"/>
            <wp:effectExtent l="0" t="0" r="2095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304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</w:p>
    <w:p>
      <w:pPr>
        <w:pStyle w:val="3"/>
        <w:rPr>
          <w:rFonts w:hint="default"/>
          <w:lang w:eastAsia="zh-CN"/>
        </w:rPr>
      </w:pPr>
      <w:bookmarkStart w:id="20" w:name="_Toc1710305220"/>
      <w:r>
        <w:rPr>
          <w:rFonts w:hint="default"/>
          <w:lang w:val="en-US" w:eastAsia="zh-CN"/>
        </w:rPr>
        <w:t>需求描述</w:t>
      </w:r>
      <w:bookmarkEnd w:id="20"/>
    </w:p>
    <w:tbl>
      <w:tblPr>
        <w:tblStyle w:val="37"/>
        <w:tblW w:w="14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5"/>
        <w:gridCol w:w="12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【账单】首页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31" w:type="dxa"/>
          </w:tcPr>
          <w:p>
            <w:pPr>
              <w:numPr>
                <w:ilvl w:val="0"/>
                <w:numId w:val="6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添“配发出库”账单类型；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添加“支付方式”筛选功能及表格表头（包括Excel表头）。选项为“全部、转账支付、分账”；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配发出库”账单不支持“合并账单”以及“账单付款”功能（前端限制选中）；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只有相同供应商、支付方式、账单类型、状态的，且状态为“采购待提交”、“等待重新提交”的账单，才可以相互合并；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账单支付”按钮修改命名为“账单转账/分账”。无论选中的是哪种支付方式的账单，点击“账单转账/分账”并通过了后台账号验证后，系统需要根据所选“转账/分账”的账单的支付方式，分别进行“走中行”或“平安银行分账”的模式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7477760" cy="2602865"/>
                  <wp:effectExtent l="0" t="0" r="15240" b="13335"/>
                  <wp:docPr id="5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760" cy="260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“配发出库”账单</w:t>
            </w:r>
          </w:p>
        </w:tc>
        <w:tc>
          <w:tcPr>
            <w:tcW w:w="1203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7492365" cy="5314950"/>
                  <wp:effectExtent l="0" t="0" r="635" b="19050"/>
                  <wp:docPr id="52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365" cy="531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每天早上，判断上一个自然日里（0:00~24:00），所有出库类型为“发货出库”的订单商品是否有生成账单（无需判断账单类型），若没有，则生成“配发出库”账单（配发出库账单和先货后款、前置仓账单一起跑）；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“配发出库”账单生成时，即触发平安银行内部的“冻结功能账号”的钱挑拨至“一手保证金（商家）子账户”里；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“配发出库”账单的详情里，只有账单基本信息以及商品信息；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7488555" cy="1764030"/>
                  <wp:effectExtent l="0" t="0" r="4445" b="13970"/>
                  <wp:docPr id="5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555" cy="176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“分账”支付方式的各种账单分账</w:t>
            </w:r>
          </w:p>
        </w:tc>
        <w:tc>
          <w:tcPr>
            <w:tcW w:w="12031" w:type="dxa"/>
          </w:tcPr>
          <w:p>
            <w:pPr>
              <w:jc w:val="left"/>
              <w:rPr>
                <w:rFonts w:hint="default"/>
                <w:lang w:eastAsia="zh-CN"/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分账”和“转账支付”的区别在于“转账支付”是使用中国银行给开单时选择的银行进行转账（现有功能）。“分账”是通过平安银行，将“一手保证金（商家）子账户”的前，通过内部流转，调拨至“商家子账户”里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账单明细</w:t>
            </w:r>
          </w:p>
        </w:tc>
        <w:tc>
          <w:tcPr>
            <w:tcW w:w="1203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“分账”支付方式的账单明细里，均去掉“收款人信息”以及“上传回执、修改回执”的列表及功能；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7483475" cy="690880"/>
                  <wp:effectExtent l="0" t="0" r="9525" b="20320"/>
                  <wp:docPr id="5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4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账单添加状态</w:t>
            </w:r>
          </w:p>
        </w:tc>
        <w:tc>
          <w:tcPr>
            <w:tcW w:w="1203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账单添加“分账中”和“分账失败”两个状态：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点击“转账/分账”按钮后，先判断该账单是否“已分账”，若未分账，则请求平安银行接口，将账款从“冻结功能账户”调拨至“一手商家子账户”去，此过程的账单状态为“分账中”；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若分账失败，则账单状态变为“分账失败”，同时将平安返回来的失败原因记录于账单详情里的“审核信息”里。点击“重新激活”则重新请求平安的分账接口；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highlight w:val="green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highlight w:val="green"/>
                <w:lang w:eastAsia="zh-CN"/>
                <w14:textFill>
                  <w14:solidFill>
                    <w14:schemeClr w14:val="tx1"/>
                  </w14:solidFill>
                </w14:textFill>
              </w:rPr>
              <w:t>“分账失败”状态下，可以点击“驳回”，然后账单变回“已驳回”状态；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highlight w:val="green"/>
                <w:lang w:eastAsia="zh-CN"/>
                <w14:textFill>
                  <w14:solidFill>
                    <w14:schemeClr w14:val="tx1"/>
                  </w14:solidFill>
                </w14:textFill>
              </w:rPr>
              <w:t>“银行支付失败”状态的账单，则需要判断该账单是否“已分账”，若已经分账了，则没有“驳回”按钮，反之也能驳回至“已驳回”状态；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eastAsia="zh-CN"/>
              </w:rPr>
            </w:pPr>
            <w:r>
              <w:drawing>
                <wp:inline distT="0" distB="0" distL="114300" distR="114300">
                  <wp:extent cx="7483475" cy="2041525"/>
                  <wp:effectExtent l="0" t="0" r="9525" b="1587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475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“常规拿货”账单生成回执图片</w:t>
            </w:r>
          </w:p>
        </w:tc>
        <w:tc>
          <w:tcPr>
            <w:tcW w:w="12031" w:type="dxa"/>
          </w:tcPr>
          <w:p>
            <w:pPr>
              <w:numPr>
                <w:ilvl w:val="0"/>
                <w:numId w:val="8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“转账支付”支付方式的常规拿货账单，转账成功后需要生成“付款回执”图片（和采购订单生成的一样）；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爆版订单详情页里的“回执图片”区常规拿货账单里生成的图片；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7483475" cy="4164330"/>
                  <wp:effectExtent l="0" t="0" r="9525" b="1270"/>
                  <wp:docPr id="56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475" cy="416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>
      <w:pPr>
        <w:rPr>
          <w:rFonts w:hint="default"/>
          <w:lang w:eastAsia="zh-CN"/>
        </w:rPr>
      </w:pPr>
    </w:p>
    <w:p>
      <w:pPr>
        <w:pStyle w:val="2"/>
        <w:rPr>
          <w:rFonts w:hint="eastAsia" w:ascii="苹方-简" w:hAnsi="苹方-简" w:eastAsia="苹方-简" w:cs="苹方-简"/>
          <w:sz w:val="44"/>
          <w:szCs w:val="44"/>
          <w:lang w:eastAsia="zh-CN"/>
        </w:rPr>
      </w:pPr>
      <w:bookmarkStart w:id="21" w:name="_Toc1031217445"/>
      <w:r>
        <w:rPr>
          <w:rFonts w:hint="default" w:ascii="苹方-简" w:hAnsi="苹方-简" w:eastAsia="苹方-简" w:cs="苹方-简"/>
          <w:sz w:val="44"/>
          <w:szCs w:val="44"/>
          <w:lang w:eastAsia="zh-CN"/>
        </w:rPr>
        <w:t>爆版APP【订单】和采购版【采购记录】添加“分账”信息</w:t>
      </w:r>
      <w:bookmarkEnd w:id="21"/>
    </w:p>
    <w:p>
      <w:pPr>
        <w:pStyle w:val="3"/>
        <w:rPr>
          <w:rFonts w:hint="eastAsia" w:ascii="宋体"/>
          <w:lang w:eastAsia="zh-CN"/>
        </w:rPr>
      </w:pPr>
      <w:bookmarkStart w:id="22" w:name="_Toc1478566825"/>
      <w:r>
        <w:rPr>
          <w:rFonts w:hint="default" w:ascii="宋体"/>
          <w:lang w:eastAsia="zh-CN"/>
        </w:rPr>
        <w:t>需求背景</w:t>
      </w:r>
      <w:bookmarkEnd w:id="22"/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供应可自行查看分账信息；</w:t>
      </w:r>
    </w:p>
    <w:p>
      <w:pPr>
        <w:rPr>
          <w:rFonts w:hint="default" w:ascii="宋体"/>
          <w:lang w:eastAsia="zh-CN"/>
        </w:rPr>
      </w:pPr>
    </w:p>
    <w:p>
      <w:pPr>
        <w:pStyle w:val="3"/>
        <w:rPr>
          <w:rFonts w:hint="default" w:ascii="宋体"/>
          <w:lang w:eastAsia="zh-CN"/>
        </w:rPr>
      </w:pPr>
      <w:bookmarkStart w:id="23" w:name="_Toc1739348338"/>
      <w:r>
        <w:rPr>
          <w:rFonts w:hint="default" w:ascii="宋体"/>
          <w:lang w:eastAsia="zh-CN"/>
        </w:rPr>
        <w:t>功能路径</w:t>
      </w:r>
      <w:bookmarkEnd w:id="23"/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①</w:t>
      </w:r>
      <w:r>
        <w:rPr>
          <w:rFonts w:hint="eastAsia"/>
          <w:sz w:val="28"/>
          <w:szCs w:val="28"/>
          <w:lang w:val="zh-CN" w:eastAsia="zh-CN"/>
        </w:rPr>
        <w:t>爆版</w:t>
      </w:r>
      <w:r>
        <w:rPr>
          <w:rFonts w:hint="default"/>
          <w:sz w:val="28"/>
          <w:szCs w:val="28"/>
          <w:lang w:eastAsia="zh-CN"/>
        </w:rPr>
        <w:t>APP</w:t>
      </w:r>
      <w:r>
        <w:rPr>
          <w:rFonts w:hint="eastAsia"/>
          <w:sz w:val="28"/>
          <w:szCs w:val="28"/>
          <w:lang w:val="zh-CN" w:eastAsia="zh-CN"/>
        </w:rPr>
        <w:t>/</w:t>
      </w:r>
      <w:r>
        <w:rPr>
          <w:rFonts w:hint="default"/>
          <w:sz w:val="28"/>
          <w:szCs w:val="28"/>
          <w:lang w:eastAsia="zh-CN"/>
        </w:rPr>
        <w:t>订单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②采购APP/供应商/欠货/采购订单记录（入口太多不全列，都是同一个页面）</w:t>
      </w:r>
    </w:p>
    <w:p>
      <w:pPr>
        <w:rPr>
          <w:rFonts w:hint="default"/>
          <w:sz w:val="28"/>
          <w:szCs w:val="28"/>
          <w:lang w:eastAsia="zh-CN"/>
        </w:rPr>
      </w:pPr>
    </w:p>
    <w:p>
      <w:pPr>
        <w:pStyle w:val="3"/>
        <w:rPr>
          <w:rFonts w:hint="default" w:ascii="宋体"/>
          <w:lang w:eastAsia="zh-CN"/>
        </w:rPr>
      </w:pPr>
      <w:bookmarkStart w:id="24" w:name="_Toc1680113802"/>
      <w:r>
        <w:rPr>
          <w:rFonts w:hint="default" w:ascii="宋体"/>
          <w:lang w:eastAsia="zh-CN"/>
        </w:rPr>
        <w:t>页面原型</w:t>
      </w:r>
      <w:bookmarkEnd w:id="24"/>
    </w:p>
    <w:p>
      <w:r>
        <w:drawing>
          <wp:inline distT="0" distB="0" distL="114300" distR="114300">
            <wp:extent cx="9117330" cy="5862320"/>
            <wp:effectExtent l="0" t="0" r="1270" b="50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17330" cy="586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eastAsia="zh-CN"/>
        </w:rPr>
      </w:pPr>
    </w:p>
    <w:p>
      <w:pPr>
        <w:pStyle w:val="3"/>
        <w:rPr>
          <w:rFonts w:hint="default"/>
          <w:lang w:eastAsia="zh-CN"/>
        </w:rPr>
      </w:pPr>
      <w:bookmarkStart w:id="25" w:name="_Toc410195811"/>
      <w:r>
        <w:rPr>
          <w:rFonts w:hint="default"/>
          <w:lang w:val="en-US" w:eastAsia="zh-CN"/>
        </w:rPr>
        <w:t>需求描述</w:t>
      </w:r>
      <w:bookmarkEnd w:id="25"/>
    </w:p>
    <w:tbl>
      <w:tblPr>
        <w:tblStyle w:val="37"/>
        <w:tblW w:w="14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5"/>
        <w:gridCol w:w="12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【订单】首页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501140" cy="3118485"/>
                  <wp:effectExtent l="0" t="0" r="22860" b="5715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311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若爆版订单所对应的一手采购订单的支付方式为“分账”，则该采购单被账单“分账”后，显示“部分已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”或“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一手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已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”标记；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“部分已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”和“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一手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已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”取决于“已分账金额”是否等于订单的“合计金额”（合计金额=订单总额-活动费-抵扣）；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eastAsia="zh-CN"/>
              </w:rPr>
            </w:pPr>
            <w:r>
              <w:drawing>
                <wp:inline distT="0" distB="0" distL="114300" distR="114300">
                  <wp:extent cx="2577465" cy="1939925"/>
                  <wp:effectExtent l="0" t="0" r="13335" b="15875"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首页筛选功能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501140" cy="3118485"/>
                  <wp:effectExtent l="0" t="0" r="22860" b="571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311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1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【筛选】页面里，添加“一手付款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状态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”单选项：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全部——所有和一手采购订单有关联的爆版订单；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待付款——采购订单未被账单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转账或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分账（1件都没有）的爆版订单；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部分已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——采购单支付方式为“分账”，且已有账单分账记录，但已“已分账金额”小于订单“合计金额”的爆版订单；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一手已付款——包括“全部已转账”和“一手已付款”状态的订单；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771900" cy="1990725"/>
                  <wp:effectExtent l="0" t="0" r="12700" b="15875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订单详情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073785" cy="2851785"/>
                  <wp:effectExtent l="0" t="0" r="18415" b="18415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285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1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1、所有类型、状态的爆版订单详情里，均在订单编号后面添加一个“复制”按钮，点击将号码保存在手机粘贴板上，同时提示“复制成功”；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、若是“分账”类型且付款状态为“部分”或“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一手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已分账”的，则“回执”按钮变为“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记录”。点击后，带着“采购订单号”作为筛选条件进入【一手账单】页面，并自动筛选出包含对应采购单号的账单；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、若是“分账”类型，销售详情商品列表里，添加“已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”表头字段，记录下该采购单里每个SKU的已分账数量；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、若是“分账”类型，则页面底部的“收款银行信息”去掉；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采购APP【采购订单记录】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501140" cy="3249930"/>
                  <wp:effectExtent l="0" t="0" r="22860" b="1270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324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若采购订单支付方式为“分账”：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1、则页面顶部的“付款回执”按钮改为“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情况”；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2、拿货单商品列表，添加表头，以及新增“已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”字段，记录下该采购单里每个SKU的已分账数量；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3、页面底部的“付款回执”去掉，取而代之的是新增的“</w:t>
            </w:r>
            <w:r>
              <w:rPr>
                <w:rFonts w:hint="eastAsia"/>
                <w:color w:val="000000" w:themeColor="text1"/>
                <w:sz w:val="28"/>
                <w:szCs w:val="28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情况”信息。分账信息包括该采购订单的实际订单金额、目前该订单通过账单已经分账了多少钱以及所涉及的账单ID有哪些（由于账单有合并和拆分功能，故一个采购订单可以存在于多个账单里）；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85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爆版【一手账单】</w:t>
            </w:r>
          </w:p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503680" cy="1680210"/>
                  <wp:effectExtent l="0" t="0" r="20320" b="2159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1" w:type="dxa"/>
          </w:tcPr>
          <w:p>
            <w:p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爆版APP【一手账单】首页，添加“拿货单ID”的搜索功能；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点击搜索框调出数字键盘（不能切换）；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搜索为精准搜索；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搜出包含拿货单ID的所有账单为搜索结果；</w:t>
            </w:r>
          </w:p>
        </w:tc>
      </w:tr>
    </w:tbl>
    <w:p>
      <w:pPr>
        <w:rPr>
          <w:rFonts w:hint="default"/>
          <w:lang w:eastAsia="zh-CN"/>
        </w:rPr>
      </w:pPr>
    </w:p>
    <w:p>
      <w:pPr>
        <w:pStyle w:val="2"/>
        <w:rPr>
          <w:rFonts w:hint="eastAsia"/>
          <w:lang w:eastAsia="zh-CN"/>
        </w:rPr>
      </w:pPr>
      <w:bookmarkStart w:id="26" w:name="_Toc738488607"/>
      <w:r>
        <w:rPr>
          <w:rFonts w:hint="default"/>
          <w:lang w:eastAsia="zh-CN"/>
        </w:rPr>
        <w:t>【一手商家子账户】充值、提现</w:t>
      </w:r>
      <w:bookmarkEnd w:id="26"/>
    </w:p>
    <w:p>
      <w:pPr>
        <w:pStyle w:val="3"/>
        <w:rPr>
          <w:rFonts w:hint="eastAsia"/>
          <w:lang w:eastAsia="zh-CN"/>
        </w:rPr>
      </w:pPr>
      <w:bookmarkStart w:id="27" w:name="_Toc1470021836"/>
      <w:r>
        <w:rPr>
          <w:rFonts w:hint="default"/>
          <w:lang w:eastAsia="zh-CN"/>
        </w:rPr>
        <w:t>需求背景</w:t>
      </w:r>
      <w:bookmarkEnd w:id="27"/>
    </w:p>
    <w:p>
      <w:pPr>
        <w:rPr>
          <w:rFonts w:hint="default"/>
          <w:sz w:val="28"/>
          <w:szCs w:val="28"/>
          <w:highlight w:val="none"/>
        </w:rPr>
      </w:pPr>
      <w:r>
        <w:rPr>
          <w:rFonts w:hint="default"/>
          <w:sz w:val="28"/>
          <w:szCs w:val="28"/>
        </w:rPr>
        <w:t>支持对一手商家子账户进行充值以及提现</w:t>
      </w:r>
      <w:r>
        <w:rPr>
          <w:rFonts w:hint="default"/>
          <w:sz w:val="28"/>
          <w:szCs w:val="28"/>
          <w:highlight w:val="none"/>
        </w:rPr>
        <w:t>；</w:t>
      </w:r>
    </w:p>
    <w:p>
      <w:pPr>
        <w:rPr>
          <w:rFonts w:hint="default"/>
          <w:sz w:val="28"/>
          <w:szCs w:val="28"/>
          <w:highlight w:val="none"/>
        </w:rPr>
      </w:pPr>
    </w:p>
    <w:p>
      <w:pPr>
        <w:pStyle w:val="3"/>
        <w:rPr>
          <w:rFonts w:hint="default"/>
          <w:lang w:eastAsia="zh-CN"/>
        </w:rPr>
      </w:pPr>
      <w:bookmarkStart w:id="28" w:name="_Toc2005122564"/>
      <w:r>
        <w:rPr>
          <w:rFonts w:hint="default"/>
          <w:lang w:eastAsia="zh-CN"/>
        </w:rPr>
        <w:t>功能路径</w:t>
      </w:r>
      <w:bookmarkEnd w:id="28"/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功能路径：ERP后台/财务管理/一手商家子账户</w:t>
      </w:r>
    </w:p>
    <w:p>
      <w:pPr>
        <w:rPr>
          <w:rFonts w:hint="default"/>
          <w:sz w:val="28"/>
          <w:szCs w:val="28"/>
        </w:rPr>
      </w:pPr>
    </w:p>
    <w:p>
      <w:pPr>
        <w:pStyle w:val="3"/>
        <w:rPr>
          <w:rFonts w:hint="default"/>
          <w:b/>
          <w:bCs/>
          <w:szCs w:val="32"/>
          <w:lang w:eastAsia="zh-CN"/>
        </w:rPr>
      </w:pPr>
      <w:bookmarkStart w:id="29" w:name="_Toc1781544424"/>
      <w:r>
        <w:rPr>
          <w:rFonts w:hint="default"/>
          <w:lang w:eastAsia="zh-CN"/>
        </w:rPr>
        <w:t>原型预览</w:t>
      </w:r>
      <w:bookmarkEnd w:id="29"/>
    </w:p>
    <w:p>
      <w:pPr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9133840" cy="4672965"/>
            <wp:effectExtent l="0" t="0" r="10160" b="6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33840" cy="467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eastAsia="zh-CN"/>
        </w:rPr>
      </w:pPr>
      <w:bookmarkStart w:id="30" w:name="_Toc52644047"/>
      <w:r>
        <w:rPr>
          <w:rFonts w:hint="default"/>
          <w:lang w:eastAsia="zh-CN"/>
        </w:rPr>
        <w:t>需求描述</w:t>
      </w:r>
      <w:bookmarkEnd w:id="30"/>
    </w:p>
    <w:tbl>
      <w:tblPr>
        <w:tblStyle w:val="37"/>
        <w:tblW w:w="14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9"/>
        <w:gridCol w:w="114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39" w:type="dxa"/>
          </w:tcPr>
          <w:p>
            <w:pPr>
              <w:jc w:val="left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default"/>
                <w:b/>
                <w:bCs/>
                <w:sz w:val="32"/>
                <w:szCs w:val="32"/>
                <w:vertAlign w:val="baseline"/>
                <w:lang w:eastAsia="zh-CN"/>
              </w:rPr>
              <w:t>首页</w:t>
            </w:r>
          </w:p>
        </w:tc>
        <w:tc>
          <w:tcPr>
            <w:tcW w:w="11477" w:type="dxa"/>
          </w:tcPr>
          <w:p>
            <w:pPr>
              <w:numPr>
                <w:ilvl w:val="0"/>
                <w:numId w:val="1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首页分为3部分：筛选、搜索、日志。只有日志区会随着页码切换、页面拖动而换页及移动；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账户情况。实时记录着当前对应子账户的数据：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①一手商家子账户金额——当前改子账户的金额；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②需提现金额——通过支付方式为“转账支付”从“冻结功能账户”转到“一手商家子账户”，且未通过中国银行接口转出的金额。；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③可充值金额——平安银行里一个名家“挂账”的功能型账号余额。可以通过线下转账的方式王“挂账”里打款；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充值——点击充值调出编辑弹窗。</w:t>
            </w:r>
          </w:p>
          <w:p>
            <w:pPr>
              <w:numPr>
                <w:ilvl w:val="0"/>
                <w:numId w:val="0"/>
              </w:numPr>
              <w:jc w:val="left"/>
            </w:pPr>
            <w:r>
              <w:drawing>
                <wp:inline distT="0" distB="0" distL="114300" distR="114300">
                  <wp:extent cx="2609850" cy="2150745"/>
                  <wp:effectExtent l="0" t="0" r="635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15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①弹窗显示当前“挂账子账号”上的余额。充值金额不能超过“挂账余额”；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②显示当前后台账号登录人名称，需要输入后台密码以及通过账号所绑定的手机号码的短信验证码。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③当“身份验证”正确且充值金额符合条件，点击确定后即将“挂账子账户”的前内部调拨至“一手商家账户”里；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提现——点击提现调出编辑弹窗。</w:t>
            </w:r>
          </w:p>
          <w:p>
            <w:pPr>
              <w:numPr>
                <w:ilvl w:val="0"/>
                <w:numId w:val="0"/>
              </w:numPr>
              <w:jc w:val="left"/>
            </w:pPr>
            <w:r>
              <w:drawing>
                <wp:inline distT="0" distB="0" distL="114300" distR="114300">
                  <wp:extent cx="3019425" cy="2840355"/>
                  <wp:effectExtent l="0" t="0" r="3175" b="4445"/>
                  <wp:docPr id="2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84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①显示提现的收款银行信息（一手的银行，只读，不能修改）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②显示当前一手商家子账户里的需提现余额。提现金额不能超过余额，且单笔不能超过1000W；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③“身份验证”与充值功能一致不赘述；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④一切资料都正常，点击确定后即将款项从“一手商家子账户”里转账至一手的收款银行。同时“需提现金额”也随之扣除。当判断到“提现金额”不足时，则提示“一手商家账户余额不足提现，请充值”（由于给一手客户退款也是从“一手商家子账户”出的钱，所以回存在“需提现”小于“一手商家子账户”的情况。考虑这种情况出现几率小且要避免的开发成本高，故本期暂时不做）；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日志——记录着每次“充值”或“提现”的记录；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状态——由于金额流动需要时间（不可估量），故在没有接收到银行传回来的“成功”通知时，均为“进行中”。“成功”后，上面的账户情况对应更新；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导出——Excel表头与表格表头一致；</w:t>
            </w:r>
          </w:p>
        </w:tc>
      </w:tr>
    </w:tbl>
    <w:p>
      <w:pPr>
        <w:pStyle w:val="56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56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sectPr>
      <w:pgSz w:w="15840" w:h="12240" w:orient="landscape"/>
      <w:pgMar w:top="720" w:right="720" w:bottom="720" w:left="720" w:header="720" w:footer="720" w:gutter="0"/>
      <w:cols w:space="720" w:num="1"/>
      <w:docGrid w:type="linesAndChars" w:linePitch="32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兰亭黑-繁">
    <w:panose1 w:val="03000509000000000000"/>
    <w:charset w:val="88"/>
    <w:family w:val="auto"/>
    <w:pitch w:val="default"/>
    <w:sig w:usb0="00000001" w:usb1="080E0000" w:usb2="00000000" w:usb3="00000000" w:csb0="0010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黑体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Brush Script MT">
    <w:panose1 w:val="03060802040406070304"/>
    <w:charset w:val="86"/>
    <w:family w:val="auto"/>
    <w:pitch w:val="default"/>
    <w:sig w:usb0="00000000" w:usb1="00000000" w:usb2="00000000" w:usb3="00000000" w:csb0="0025003A" w:csb1="002F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楷体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兰亭黑-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凌慧体-简">
    <w:panose1 w:val="03050602040302020204"/>
    <w:charset w:val="86"/>
    <w:family w:val="auto"/>
    <w:pitch w:val="default"/>
    <w:sig w:usb0="A00002FF" w:usb1="7ACF7CFB" w:usb2="0000001E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凌慧体-繁">
    <w:panose1 w:val="03050602040302020204"/>
    <w:charset w:val="86"/>
    <w:family w:val="auto"/>
    <w:pitch w:val="default"/>
    <w:sig w:usb0="A00002FF" w:usb1="7ACFFCFB" w:usb2="0000001E" w:usb3="00000000" w:csb0="20140183" w:csb1="00000000"/>
  </w:font>
  <w:font w:name=".sf ns tex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翩翩体-繁">
    <w:panose1 w:val="03000300000000000000"/>
    <w:charset w:val="86"/>
    <w:family w:val="auto"/>
    <w:pitch w:val="default"/>
    <w:sig w:usb0="A00002FF" w:usb1="7ACF7CFB" w:usb2="00000016" w:usb3="00000000" w:csb0="00040001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DengXian Light">
    <w:altName w:val="汉仪中等线K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圆体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手札体-简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娃娃体-简">
    <w:panose1 w:val="040B0500000000000000"/>
    <w:charset w:val="86"/>
    <w:family w:val="auto"/>
    <w:pitch w:val="default"/>
    <w:sig w:usb0="A00002FF" w:usb1="38CF7CFB" w:usb2="00000016" w:usb3="00000000" w:csb0="00040003" w:csb1="00000000"/>
  </w:font>
  <w:font w:name="圆体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ime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兰亭黑-简 中黑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系统字体">
    <w:altName w:val="苹方-简"/>
    <w:panose1 w:val="00000000000000000000"/>
    <w:charset w:val="00"/>
    <w:family w:val="auto"/>
    <w:pitch w:val="default"/>
    <w:sig w:usb0="00000000" w:usb1="00000000" w:usb2="00008020" w:usb3="00000000" w:csb0="6000019F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Telugu Sangam MN">
    <w:panose1 w:val="00000500000000000000"/>
    <w:charset w:val="00"/>
    <w:family w:val="auto"/>
    <w:pitch w:val="default"/>
    <w:sig w:usb0="00200001" w:usb1="00000000" w:usb2="00000000" w:usb3="00000000" w:csb0="00000001" w:csb1="00000000"/>
  </w:font>
  <w:font w:name="Trebuchet MS">
    <w:panose1 w:val="020B0703020202090204"/>
    <w:charset w:val="00"/>
    <w:family w:val="auto"/>
    <w:pitch w:val="default"/>
    <w:sig w:usb0="00000287" w:usb1="00000000" w:usb2="00000000" w:usb3="00000000" w:csb0="2000009F" w:csb1="00000000"/>
  </w:font>
  <w:font w:name="Thonburi">
    <w:panose1 w:val="00000400000000000000"/>
    <w:charset w:val="00"/>
    <w:family w:val="auto"/>
    <w:pitch w:val="default"/>
    <w:sig w:usb0="01000000" w:usb1="00000000" w:usb2="00000000" w:usb3="00000000" w:csb0="20000193" w:csb1="4D000000"/>
  </w:font>
  <w:font w:name="system-u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F5AF6"/>
    <w:multiLevelType w:val="multilevel"/>
    <w:tmpl w:val="203F5AF6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 w:eastAsia="宋体"/>
        <w:b/>
        <w:i w:val="0"/>
        <w:sz w:val="44"/>
        <w:szCs w:val="44"/>
      </w:rPr>
    </w:lvl>
    <w:lvl w:ilvl="1" w:tentative="0">
      <w:start w:val="1"/>
      <w:numFmt w:val="decimal"/>
      <w:lvlText w:val="%1.%2"/>
      <w:lvlJc w:val="left"/>
      <w:pPr>
        <w:ind w:left="425" w:hanging="425"/>
      </w:pPr>
      <w:rPr>
        <w:rFonts w:hint="eastAsia" w:eastAsia="宋体"/>
        <w:b/>
        <w:i w:val="0"/>
        <w:sz w:val="32"/>
        <w:szCs w:val="32"/>
      </w:rPr>
    </w:lvl>
    <w:lvl w:ilvl="2" w:tentative="0">
      <w:start w:val="1"/>
      <w:numFmt w:val="decimal"/>
      <w:lvlText w:val="%1.%2.%3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3" w:tentative="0">
      <w:start w:val="1"/>
      <w:numFmt w:val="decimal"/>
      <w:pStyle w:val="5"/>
      <w:lvlText w:val="%1.%2.%3.%4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4" w:tentative="0">
      <w:start w:val="1"/>
      <w:numFmt w:val="decimal"/>
      <w:pStyle w:val="6"/>
      <w:lvlText w:val="%1.%2.%3.%4.%5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5" w:tentative="0">
      <w:start w:val="1"/>
      <w:numFmt w:val="decimal"/>
      <w:pStyle w:val="7"/>
      <w:lvlText w:val="%1.%2.%3.%4.%5.%6"/>
      <w:lvlJc w:val="left"/>
      <w:pPr>
        <w:ind w:left="425" w:hanging="425"/>
      </w:pPr>
      <w:rPr>
        <w:rFonts w:hint="eastAsia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pStyle w:val="8"/>
      <w:lvlText w:val="%1.%2.%3.%4.%5.%6.%7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7" w:tentative="0">
      <w:start w:val="1"/>
      <w:numFmt w:val="decimal"/>
      <w:pStyle w:val="9"/>
      <w:lvlText w:val="%1.%2.%3.%4.%5.%6.%7.%8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425" w:hanging="425"/>
      </w:pPr>
      <w:rPr>
        <w:rFonts w:hint="eastAsia" w:eastAsia="宋体"/>
        <w:b/>
        <w:i w:val="0"/>
        <w:sz w:val="21"/>
      </w:rPr>
    </w:lvl>
  </w:abstractNum>
  <w:abstractNum w:abstractNumId="1">
    <w:nsid w:val="5F463236"/>
    <w:multiLevelType w:val="singleLevel"/>
    <w:tmpl w:val="5F46323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F4721EA"/>
    <w:multiLevelType w:val="singleLevel"/>
    <w:tmpl w:val="5F4721E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F4761FD"/>
    <w:multiLevelType w:val="singleLevel"/>
    <w:tmpl w:val="5F4761FD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F476284"/>
    <w:multiLevelType w:val="singleLevel"/>
    <w:tmpl w:val="5F47628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F48700E"/>
    <w:multiLevelType w:val="singleLevel"/>
    <w:tmpl w:val="5F48700E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F48C52A"/>
    <w:multiLevelType w:val="singleLevel"/>
    <w:tmpl w:val="5F48C52A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5F4909AF"/>
    <w:multiLevelType w:val="singleLevel"/>
    <w:tmpl w:val="5F4909AF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5F49D717"/>
    <w:multiLevelType w:val="singleLevel"/>
    <w:tmpl w:val="5F49D717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5F4DC5F4"/>
    <w:multiLevelType w:val="singleLevel"/>
    <w:tmpl w:val="5F4DC5F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62F"/>
    <w:rsid w:val="000009C1"/>
    <w:rsid w:val="00007365"/>
    <w:rsid w:val="000121D2"/>
    <w:rsid w:val="00023977"/>
    <w:rsid w:val="00023A2E"/>
    <w:rsid w:val="000402DE"/>
    <w:rsid w:val="00054369"/>
    <w:rsid w:val="00060AFE"/>
    <w:rsid w:val="00061AD0"/>
    <w:rsid w:val="00063763"/>
    <w:rsid w:val="00075BBB"/>
    <w:rsid w:val="00095080"/>
    <w:rsid w:val="00096391"/>
    <w:rsid w:val="000A562F"/>
    <w:rsid w:val="000B7470"/>
    <w:rsid w:val="000C5AA9"/>
    <w:rsid w:val="000C7323"/>
    <w:rsid w:val="000D13C1"/>
    <w:rsid w:val="000D6E3D"/>
    <w:rsid w:val="000F674A"/>
    <w:rsid w:val="00104A15"/>
    <w:rsid w:val="00105BB9"/>
    <w:rsid w:val="001105ED"/>
    <w:rsid w:val="00123F5A"/>
    <w:rsid w:val="00127629"/>
    <w:rsid w:val="001433C0"/>
    <w:rsid w:val="00147505"/>
    <w:rsid w:val="00150850"/>
    <w:rsid w:val="00151B60"/>
    <w:rsid w:val="00161754"/>
    <w:rsid w:val="001709AB"/>
    <w:rsid w:val="001804B1"/>
    <w:rsid w:val="0018657D"/>
    <w:rsid w:val="00192449"/>
    <w:rsid w:val="001A2BE7"/>
    <w:rsid w:val="001A6BC5"/>
    <w:rsid w:val="001A7C8A"/>
    <w:rsid w:val="001B33BB"/>
    <w:rsid w:val="001B67BD"/>
    <w:rsid w:val="001B7033"/>
    <w:rsid w:val="001B7F13"/>
    <w:rsid w:val="001D2ADB"/>
    <w:rsid w:val="001D34A2"/>
    <w:rsid w:val="001E189D"/>
    <w:rsid w:val="001E3F61"/>
    <w:rsid w:val="001F7978"/>
    <w:rsid w:val="002030F5"/>
    <w:rsid w:val="00203DB2"/>
    <w:rsid w:val="00205D5E"/>
    <w:rsid w:val="0021319E"/>
    <w:rsid w:val="002242A5"/>
    <w:rsid w:val="002253ED"/>
    <w:rsid w:val="002327C7"/>
    <w:rsid w:val="00234E81"/>
    <w:rsid w:val="00247F4C"/>
    <w:rsid w:val="00256091"/>
    <w:rsid w:val="00257B13"/>
    <w:rsid w:val="00261859"/>
    <w:rsid w:val="00265035"/>
    <w:rsid w:val="00265AE0"/>
    <w:rsid w:val="00271374"/>
    <w:rsid w:val="002801C4"/>
    <w:rsid w:val="0029034E"/>
    <w:rsid w:val="00290794"/>
    <w:rsid w:val="00291183"/>
    <w:rsid w:val="002A3E56"/>
    <w:rsid w:val="002B584E"/>
    <w:rsid w:val="002C30D9"/>
    <w:rsid w:val="002C5C97"/>
    <w:rsid w:val="002D3254"/>
    <w:rsid w:val="002D32F1"/>
    <w:rsid w:val="002D4805"/>
    <w:rsid w:val="002E6D43"/>
    <w:rsid w:val="002F7007"/>
    <w:rsid w:val="002F72B2"/>
    <w:rsid w:val="0031027B"/>
    <w:rsid w:val="0031751A"/>
    <w:rsid w:val="00325798"/>
    <w:rsid w:val="00326C34"/>
    <w:rsid w:val="00335F0E"/>
    <w:rsid w:val="00343729"/>
    <w:rsid w:val="003452E6"/>
    <w:rsid w:val="003458C8"/>
    <w:rsid w:val="00364C4F"/>
    <w:rsid w:val="00375292"/>
    <w:rsid w:val="00380950"/>
    <w:rsid w:val="003816FE"/>
    <w:rsid w:val="00384291"/>
    <w:rsid w:val="0038737C"/>
    <w:rsid w:val="00387415"/>
    <w:rsid w:val="00392A4E"/>
    <w:rsid w:val="0039466F"/>
    <w:rsid w:val="00397A87"/>
    <w:rsid w:val="003A13BE"/>
    <w:rsid w:val="003A4BE8"/>
    <w:rsid w:val="003A6049"/>
    <w:rsid w:val="003C076E"/>
    <w:rsid w:val="003C7DB2"/>
    <w:rsid w:val="003D2D88"/>
    <w:rsid w:val="003D3F34"/>
    <w:rsid w:val="003D6A7A"/>
    <w:rsid w:val="003E3E2F"/>
    <w:rsid w:val="003E7055"/>
    <w:rsid w:val="003E7B01"/>
    <w:rsid w:val="003F3A66"/>
    <w:rsid w:val="003F5961"/>
    <w:rsid w:val="003F6413"/>
    <w:rsid w:val="004000DC"/>
    <w:rsid w:val="00403DDC"/>
    <w:rsid w:val="0040710E"/>
    <w:rsid w:val="004078E2"/>
    <w:rsid w:val="00407F5F"/>
    <w:rsid w:val="00417FDE"/>
    <w:rsid w:val="00427BB5"/>
    <w:rsid w:val="00432AF5"/>
    <w:rsid w:val="00445ED5"/>
    <w:rsid w:val="0045054E"/>
    <w:rsid w:val="0045149E"/>
    <w:rsid w:val="0045787F"/>
    <w:rsid w:val="004609BE"/>
    <w:rsid w:val="00460DD2"/>
    <w:rsid w:val="0046710B"/>
    <w:rsid w:val="00471F4F"/>
    <w:rsid w:val="00486E75"/>
    <w:rsid w:val="00495D40"/>
    <w:rsid w:val="00496522"/>
    <w:rsid w:val="00496B78"/>
    <w:rsid w:val="004A265E"/>
    <w:rsid w:val="004A7099"/>
    <w:rsid w:val="004B2542"/>
    <w:rsid w:val="004C169E"/>
    <w:rsid w:val="004C346D"/>
    <w:rsid w:val="004C6108"/>
    <w:rsid w:val="004D5B5B"/>
    <w:rsid w:val="004F3E36"/>
    <w:rsid w:val="00500845"/>
    <w:rsid w:val="00530305"/>
    <w:rsid w:val="0053235B"/>
    <w:rsid w:val="005334A8"/>
    <w:rsid w:val="005423DB"/>
    <w:rsid w:val="0054307D"/>
    <w:rsid w:val="00547920"/>
    <w:rsid w:val="00551041"/>
    <w:rsid w:val="0055564A"/>
    <w:rsid w:val="00556D8A"/>
    <w:rsid w:val="005571CA"/>
    <w:rsid w:val="00560D1C"/>
    <w:rsid w:val="005842A3"/>
    <w:rsid w:val="00586DD8"/>
    <w:rsid w:val="005926FB"/>
    <w:rsid w:val="00597CFC"/>
    <w:rsid w:val="005A0165"/>
    <w:rsid w:val="005B1272"/>
    <w:rsid w:val="005B6E38"/>
    <w:rsid w:val="005C611E"/>
    <w:rsid w:val="005C739E"/>
    <w:rsid w:val="005E405F"/>
    <w:rsid w:val="005F0639"/>
    <w:rsid w:val="005F238A"/>
    <w:rsid w:val="00600131"/>
    <w:rsid w:val="00613DBF"/>
    <w:rsid w:val="00617B17"/>
    <w:rsid w:val="0062052C"/>
    <w:rsid w:val="00624E77"/>
    <w:rsid w:val="00632D47"/>
    <w:rsid w:val="00636D0E"/>
    <w:rsid w:val="00636F98"/>
    <w:rsid w:val="00640F65"/>
    <w:rsid w:val="00641DB2"/>
    <w:rsid w:val="00643F77"/>
    <w:rsid w:val="00645F96"/>
    <w:rsid w:val="00656858"/>
    <w:rsid w:val="006721BD"/>
    <w:rsid w:val="00676C3E"/>
    <w:rsid w:val="00677D63"/>
    <w:rsid w:val="006A2673"/>
    <w:rsid w:val="006A63CA"/>
    <w:rsid w:val="006B1A2C"/>
    <w:rsid w:val="006B7475"/>
    <w:rsid w:val="006D66FF"/>
    <w:rsid w:val="006E254B"/>
    <w:rsid w:val="006F6C8A"/>
    <w:rsid w:val="007219EB"/>
    <w:rsid w:val="007220BF"/>
    <w:rsid w:val="0072598F"/>
    <w:rsid w:val="00727C0F"/>
    <w:rsid w:val="00732986"/>
    <w:rsid w:val="00733A6A"/>
    <w:rsid w:val="007406A7"/>
    <w:rsid w:val="00741A11"/>
    <w:rsid w:val="00741CAF"/>
    <w:rsid w:val="0076191E"/>
    <w:rsid w:val="007661BC"/>
    <w:rsid w:val="007766C5"/>
    <w:rsid w:val="0078155E"/>
    <w:rsid w:val="0078216D"/>
    <w:rsid w:val="00782C9A"/>
    <w:rsid w:val="00784C73"/>
    <w:rsid w:val="007876F5"/>
    <w:rsid w:val="00790657"/>
    <w:rsid w:val="007970AB"/>
    <w:rsid w:val="007A6DFC"/>
    <w:rsid w:val="007E154E"/>
    <w:rsid w:val="007E4F86"/>
    <w:rsid w:val="007E51E7"/>
    <w:rsid w:val="00821331"/>
    <w:rsid w:val="00827BD0"/>
    <w:rsid w:val="00830B20"/>
    <w:rsid w:val="00833A24"/>
    <w:rsid w:val="00833E83"/>
    <w:rsid w:val="0083444C"/>
    <w:rsid w:val="00854795"/>
    <w:rsid w:val="00865189"/>
    <w:rsid w:val="008705C2"/>
    <w:rsid w:val="00871D99"/>
    <w:rsid w:val="00876543"/>
    <w:rsid w:val="00876584"/>
    <w:rsid w:val="00876715"/>
    <w:rsid w:val="008769BA"/>
    <w:rsid w:val="008847F1"/>
    <w:rsid w:val="00886E72"/>
    <w:rsid w:val="008A2568"/>
    <w:rsid w:val="008A7B07"/>
    <w:rsid w:val="008B1BBB"/>
    <w:rsid w:val="008B1CBF"/>
    <w:rsid w:val="008B52ED"/>
    <w:rsid w:val="008B67FA"/>
    <w:rsid w:val="008C7AD1"/>
    <w:rsid w:val="008F3EF7"/>
    <w:rsid w:val="008F5BAA"/>
    <w:rsid w:val="009102AA"/>
    <w:rsid w:val="00912FA0"/>
    <w:rsid w:val="00914366"/>
    <w:rsid w:val="00921564"/>
    <w:rsid w:val="00930754"/>
    <w:rsid w:val="00933C92"/>
    <w:rsid w:val="00935450"/>
    <w:rsid w:val="0094171F"/>
    <w:rsid w:val="00944BBA"/>
    <w:rsid w:val="00946E2E"/>
    <w:rsid w:val="00951049"/>
    <w:rsid w:val="00952024"/>
    <w:rsid w:val="009606EC"/>
    <w:rsid w:val="00962E4E"/>
    <w:rsid w:val="00966A18"/>
    <w:rsid w:val="00967086"/>
    <w:rsid w:val="00973C26"/>
    <w:rsid w:val="00987B9B"/>
    <w:rsid w:val="0099215E"/>
    <w:rsid w:val="00992556"/>
    <w:rsid w:val="009A5F31"/>
    <w:rsid w:val="009B150B"/>
    <w:rsid w:val="009B3101"/>
    <w:rsid w:val="009B5DF1"/>
    <w:rsid w:val="009B6B0C"/>
    <w:rsid w:val="009D6085"/>
    <w:rsid w:val="009E0F99"/>
    <w:rsid w:val="009E1F98"/>
    <w:rsid w:val="00A015FC"/>
    <w:rsid w:val="00A01688"/>
    <w:rsid w:val="00A01E43"/>
    <w:rsid w:val="00A02F47"/>
    <w:rsid w:val="00A16A44"/>
    <w:rsid w:val="00A16E3C"/>
    <w:rsid w:val="00A33DB9"/>
    <w:rsid w:val="00A61B69"/>
    <w:rsid w:val="00A62C48"/>
    <w:rsid w:val="00A6521B"/>
    <w:rsid w:val="00A65F61"/>
    <w:rsid w:val="00A93611"/>
    <w:rsid w:val="00AA0BFB"/>
    <w:rsid w:val="00AA3710"/>
    <w:rsid w:val="00AD0FFF"/>
    <w:rsid w:val="00AE5E41"/>
    <w:rsid w:val="00AF0CC0"/>
    <w:rsid w:val="00AF2BD0"/>
    <w:rsid w:val="00B00E3C"/>
    <w:rsid w:val="00B02C66"/>
    <w:rsid w:val="00B0760F"/>
    <w:rsid w:val="00B1388C"/>
    <w:rsid w:val="00B22423"/>
    <w:rsid w:val="00B2754A"/>
    <w:rsid w:val="00B42378"/>
    <w:rsid w:val="00B435B3"/>
    <w:rsid w:val="00B460DA"/>
    <w:rsid w:val="00B75BCE"/>
    <w:rsid w:val="00B82B5A"/>
    <w:rsid w:val="00B86485"/>
    <w:rsid w:val="00B92937"/>
    <w:rsid w:val="00B9489A"/>
    <w:rsid w:val="00B96E23"/>
    <w:rsid w:val="00BA0EDB"/>
    <w:rsid w:val="00BA5953"/>
    <w:rsid w:val="00BA6DAD"/>
    <w:rsid w:val="00BB00BC"/>
    <w:rsid w:val="00BB293A"/>
    <w:rsid w:val="00BB3A45"/>
    <w:rsid w:val="00BB7D4A"/>
    <w:rsid w:val="00BE13A4"/>
    <w:rsid w:val="00BF15CF"/>
    <w:rsid w:val="00BF4E0A"/>
    <w:rsid w:val="00C04771"/>
    <w:rsid w:val="00C058C4"/>
    <w:rsid w:val="00C06200"/>
    <w:rsid w:val="00C13345"/>
    <w:rsid w:val="00C2017A"/>
    <w:rsid w:val="00C216FC"/>
    <w:rsid w:val="00C22436"/>
    <w:rsid w:val="00C2392B"/>
    <w:rsid w:val="00C31874"/>
    <w:rsid w:val="00C31C8C"/>
    <w:rsid w:val="00C3605B"/>
    <w:rsid w:val="00C41168"/>
    <w:rsid w:val="00C459A6"/>
    <w:rsid w:val="00C5680F"/>
    <w:rsid w:val="00C57961"/>
    <w:rsid w:val="00C62D21"/>
    <w:rsid w:val="00C64BEC"/>
    <w:rsid w:val="00C72C5A"/>
    <w:rsid w:val="00C74256"/>
    <w:rsid w:val="00C749F4"/>
    <w:rsid w:val="00C74D0D"/>
    <w:rsid w:val="00C750AE"/>
    <w:rsid w:val="00CA3FFC"/>
    <w:rsid w:val="00CA49C9"/>
    <w:rsid w:val="00CA4AD0"/>
    <w:rsid w:val="00CB4920"/>
    <w:rsid w:val="00CD49F9"/>
    <w:rsid w:val="00CD6B70"/>
    <w:rsid w:val="00CD73C2"/>
    <w:rsid w:val="00CE6A56"/>
    <w:rsid w:val="00CF1CF3"/>
    <w:rsid w:val="00CF5353"/>
    <w:rsid w:val="00CF64E6"/>
    <w:rsid w:val="00D04366"/>
    <w:rsid w:val="00D255C5"/>
    <w:rsid w:val="00D257A8"/>
    <w:rsid w:val="00D418CA"/>
    <w:rsid w:val="00D41C78"/>
    <w:rsid w:val="00D42660"/>
    <w:rsid w:val="00D55C5F"/>
    <w:rsid w:val="00D62DC8"/>
    <w:rsid w:val="00D74324"/>
    <w:rsid w:val="00D80E7C"/>
    <w:rsid w:val="00D8487B"/>
    <w:rsid w:val="00D85DB4"/>
    <w:rsid w:val="00D9076B"/>
    <w:rsid w:val="00D915CB"/>
    <w:rsid w:val="00D92AAD"/>
    <w:rsid w:val="00D93726"/>
    <w:rsid w:val="00D9507A"/>
    <w:rsid w:val="00D96678"/>
    <w:rsid w:val="00DA6EB0"/>
    <w:rsid w:val="00DB3952"/>
    <w:rsid w:val="00DB6A10"/>
    <w:rsid w:val="00DC1419"/>
    <w:rsid w:val="00DC3E85"/>
    <w:rsid w:val="00DC505C"/>
    <w:rsid w:val="00DC5469"/>
    <w:rsid w:val="00DD2B78"/>
    <w:rsid w:val="00DD3F5B"/>
    <w:rsid w:val="00DD5496"/>
    <w:rsid w:val="00DD6FC0"/>
    <w:rsid w:val="00DE0223"/>
    <w:rsid w:val="00DE445E"/>
    <w:rsid w:val="00DF7AD6"/>
    <w:rsid w:val="00E0410B"/>
    <w:rsid w:val="00E10C61"/>
    <w:rsid w:val="00E23742"/>
    <w:rsid w:val="00E2672F"/>
    <w:rsid w:val="00E352B1"/>
    <w:rsid w:val="00E40DEF"/>
    <w:rsid w:val="00E45985"/>
    <w:rsid w:val="00E45CD2"/>
    <w:rsid w:val="00E51C23"/>
    <w:rsid w:val="00E53205"/>
    <w:rsid w:val="00E55191"/>
    <w:rsid w:val="00E73BFC"/>
    <w:rsid w:val="00E7740A"/>
    <w:rsid w:val="00E911E2"/>
    <w:rsid w:val="00E92810"/>
    <w:rsid w:val="00EB0698"/>
    <w:rsid w:val="00EB3C42"/>
    <w:rsid w:val="00EB50DB"/>
    <w:rsid w:val="00ED2FB2"/>
    <w:rsid w:val="00ED6D52"/>
    <w:rsid w:val="00EE6EA2"/>
    <w:rsid w:val="00EF2C52"/>
    <w:rsid w:val="00EF5CDD"/>
    <w:rsid w:val="00F00CCF"/>
    <w:rsid w:val="00F21DE9"/>
    <w:rsid w:val="00F24079"/>
    <w:rsid w:val="00F259C6"/>
    <w:rsid w:val="00F27D7D"/>
    <w:rsid w:val="00F30ADE"/>
    <w:rsid w:val="00F3593F"/>
    <w:rsid w:val="00F36701"/>
    <w:rsid w:val="00F409CE"/>
    <w:rsid w:val="00F54312"/>
    <w:rsid w:val="00F63677"/>
    <w:rsid w:val="00F65E5A"/>
    <w:rsid w:val="00F72023"/>
    <w:rsid w:val="00F73BA7"/>
    <w:rsid w:val="00F832D2"/>
    <w:rsid w:val="00F86FAE"/>
    <w:rsid w:val="00FA6C6C"/>
    <w:rsid w:val="00FB7925"/>
    <w:rsid w:val="00FC1C44"/>
    <w:rsid w:val="00FC34E2"/>
    <w:rsid w:val="00FC37DF"/>
    <w:rsid w:val="00FC5EDD"/>
    <w:rsid w:val="00FD40E9"/>
    <w:rsid w:val="00FE597B"/>
    <w:rsid w:val="00FF17F6"/>
    <w:rsid w:val="00FF72FF"/>
    <w:rsid w:val="0BCC3108"/>
    <w:rsid w:val="0EEF3AB4"/>
    <w:rsid w:val="0FF734CB"/>
    <w:rsid w:val="0FFB5A2C"/>
    <w:rsid w:val="16BCFFBE"/>
    <w:rsid w:val="177E78BA"/>
    <w:rsid w:val="17CD93D7"/>
    <w:rsid w:val="17FEDC6F"/>
    <w:rsid w:val="1CFB4B3B"/>
    <w:rsid w:val="1FBDB6A1"/>
    <w:rsid w:val="1FFEBED3"/>
    <w:rsid w:val="217EB3EF"/>
    <w:rsid w:val="273FA349"/>
    <w:rsid w:val="27AB321D"/>
    <w:rsid w:val="2A79A489"/>
    <w:rsid w:val="2B739F67"/>
    <w:rsid w:val="2DAD768D"/>
    <w:rsid w:val="2FBF4D5D"/>
    <w:rsid w:val="2FD72F73"/>
    <w:rsid w:val="33B3B460"/>
    <w:rsid w:val="33B65D9E"/>
    <w:rsid w:val="33FB6A71"/>
    <w:rsid w:val="367F40C4"/>
    <w:rsid w:val="377BE45F"/>
    <w:rsid w:val="37BB9B61"/>
    <w:rsid w:val="3BFF7EBA"/>
    <w:rsid w:val="3BFFAF32"/>
    <w:rsid w:val="3D378BE0"/>
    <w:rsid w:val="3D73A8C5"/>
    <w:rsid w:val="3D79E34E"/>
    <w:rsid w:val="3DFB606F"/>
    <w:rsid w:val="3F7F3627"/>
    <w:rsid w:val="3F97953E"/>
    <w:rsid w:val="3FBFDF64"/>
    <w:rsid w:val="42F74D04"/>
    <w:rsid w:val="457B135D"/>
    <w:rsid w:val="4BFF1254"/>
    <w:rsid w:val="4FA7B3EC"/>
    <w:rsid w:val="4FEFCE65"/>
    <w:rsid w:val="4FFFC859"/>
    <w:rsid w:val="533706A0"/>
    <w:rsid w:val="53F9453E"/>
    <w:rsid w:val="53FA34FB"/>
    <w:rsid w:val="55EFCA1D"/>
    <w:rsid w:val="56F62F9A"/>
    <w:rsid w:val="56F7ADEA"/>
    <w:rsid w:val="573E10D6"/>
    <w:rsid w:val="579F4E98"/>
    <w:rsid w:val="59AD9149"/>
    <w:rsid w:val="5B7A08CF"/>
    <w:rsid w:val="5BA739F2"/>
    <w:rsid w:val="5DE7016E"/>
    <w:rsid w:val="5DF3B41E"/>
    <w:rsid w:val="5E5C58BE"/>
    <w:rsid w:val="5E77389F"/>
    <w:rsid w:val="5E7FCD3C"/>
    <w:rsid w:val="5F5FDBA1"/>
    <w:rsid w:val="5F5FFE02"/>
    <w:rsid w:val="5F6BF1D9"/>
    <w:rsid w:val="5FA94E4E"/>
    <w:rsid w:val="5FBDC3B2"/>
    <w:rsid w:val="5FBFB3DB"/>
    <w:rsid w:val="5FE94D98"/>
    <w:rsid w:val="5FF7DA00"/>
    <w:rsid w:val="5FFBA55B"/>
    <w:rsid w:val="5FFE052B"/>
    <w:rsid w:val="5FFEE672"/>
    <w:rsid w:val="6478CB9B"/>
    <w:rsid w:val="66956E1C"/>
    <w:rsid w:val="677EE9CE"/>
    <w:rsid w:val="67B93791"/>
    <w:rsid w:val="67CB6B6E"/>
    <w:rsid w:val="6A96D2B8"/>
    <w:rsid w:val="6BAF532B"/>
    <w:rsid w:val="6BB3F76E"/>
    <w:rsid w:val="6C3A3457"/>
    <w:rsid w:val="6CD3E2C6"/>
    <w:rsid w:val="6CDF2C39"/>
    <w:rsid w:val="6DDFEEB6"/>
    <w:rsid w:val="6DEE0115"/>
    <w:rsid w:val="6EB5A8E3"/>
    <w:rsid w:val="6EE7D11A"/>
    <w:rsid w:val="6F396A6D"/>
    <w:rsid w:val="6F3FB23E"/>
    <w:rsid w:val="6F5771E7"/>
    <w:rsid w:val="6F577AFF"/>
    <w:rsid w:val="6F64CFFD"/>
    <w:rsid w:val="6F791EB6"/>
    <w:rsid w:val="6F7B224E"/>
    <w:rsid w:val="6FB7319D"/>
    <w:rsid w:val="6FBF57CF"/>
    <w:rsid w:val="6FDFD22B"/>
    <w:rsid w:val="6FF70491"/>
    <w:rsid w:val="6FFED1BA"/>
    <w:rsid w:val="71575541"/>
    <w:rsid w:val="71FF1D33"/>
    <w:rsid w:val="733AFF8C"/>
    <w:rsid w:val="7386A5B1"/>
    <w:rsid w:val="75B60E2B"/>
    <w:rsid w:val="75FE23D8"/>
    <w:rsid w:val="775DD09E"/>
    <w:rsid w:val="7797F8B8"/>
    <w:rsid w:val="77AFAF32"/>
    <w:rsid w:val="77CF406F"/>
    <w:rsid w:val="77D54AE9"/>
    <w:rsid w:val="77FE5B3D"/>
    <w:rsid w:val="77FFFF61"/>
    <w:rsid w:val="7A962294"/>
    <w:rsid w:val="7ADD3B29"/>
    <w:rsid w:val="7AFEF1F9"/>
    <w:rsid w:val="7B5B10FD"/>
    <w:rsid w:val="7B6795AF"/>
    <w:rsid w:val="7BB35BF4"/>
    <w:rsid w:val="7BCF7EC7"/>
    <w:rsid w:val="7BDDE785"/>
    <w:rsid w:val="7BFB3023"/>
    <w:rsid w:val="7BFD369F"/>
    <w:rsid w:val="7D3F938D"/>
    <w:rsid w:val="7DAFAF8F"/>
    <w:rsid w:val="7DCF740A"/>
    <w:rsid w:val="7DDE57E4"/>
    <w:rsid w:val="7DFB3870"/>
    <w:rsid w:val="7DFDF0F0"/>
    <w:rsid w:val="7DFF1D92"/>
    <w:rsid w:val="7E376AA0"/>
    <w:rsid w:val="7E7F9731"/>
    <w:rsid w:val="7EDFAEE0"/>
    <w:rsid w:val="7EFCCC95"/>
    <w:rsid w:val="7EFEDB8E"/>
    <w:rsid w:val="7EFF451D"/>
    <w:rsid w:val="7F1B74A5"/>
    <w:rsid w:val="7F2BBBB5"/>
    <w:rsid w:val="7F3B6C46"/>
    <w:rsid w:val="7F524D36"/>
    <w:rsid w:val="7F6D628C"/>
    <w:rsid w:val="7F7096DF"/>
    <w:rsid w:val="7F73F2AC"/>
    <w:rsid w:val="7F77C63F"/>
    <w:rsid w:val="7F7CA597"/>
    <w:rsid w:val="7F7CF451"/>
    <w:rsid w:val="7F7FD592"/>
    <w:rsid w:val="7FB7643F"/>
    <w:rsid w:val="7FBFA215"/>
    <w:rsid w:val="7FC6FCAE"/>
    <w:rsid w:val="7FDDCA66"/>
    <w:rsid w:val="7FED70CB"/>
    <w:rsid w:val="7FEFA19D"/>
    <w:rsid w:val="7FF9B391"/>
    <w:rsid w:val="7FFB2667"/>
    <w:rsid w:val="7FFB3A44"/>
    <w:rsid w:val="7FFD7898"/>
    <w:rsid w:val="7FFE90F6"/>
    <w:rsid w:val="7FFF6ADB"/>
    <w:rsid w:val="7FFF7270"/>
    <w:rsid w:val="7FFFEEBF"/>
    <w:rsid w:val="87F436EF"/>
    <w:rsid w:val="8EFF133B"/>
    <w:rsid w:val="8FBF3301"/>
    <w:rsid w:val="90DEF4B1"/>
    <w:rsid w:val="95E775DB"/>
    <w:rsid w:val="96EDF42C"/>
    <w:rsid w:val="97FF31F8"/>
    <w:rsid w:val="9BB53EFA"/>
    <w:rsid w:val="9BB720E1"/>
    <w:rsid w:val="9BEE439B"/>
    <w:rsid w:val="9C7F51DD"/>
    <w:rsid w:val="9DF65E9D"/>
    <w:rsid w:val="9F4CA40E"/>
    <w:rsid w:val="9F65983C"/>
    <w:rsid w:val="9F75F3BF"/>
    <w:rsid w:val="9FAF4806"/>
    <w:rsid w:val="9FEF26F1"/>
    <w:rsid w:val="9FFBA376"/>
    <w:rsid w:val="9FFF2374"/>
    <w:rsid w:val="A4BF8933"/>
    <w:rsid w:val="A7CD9794"/>
    <w:rsid w:val="A9F303BD"/>
    <w:rsid w:val="ABF97707"/>
    <w:rsid w:val="ABFFF8D6"/>
    <w:rsid w:val="ACFB8B98"/>
    <w:rsid w:val="AE793ED3"/>
    <w:rsid w:val="AFBE260B"/>
    <w:rsid w:val="AFDFE660"/>
    <w:rsid w:val="AFFF56F3"/>
    <w:rsid w:val="AFFF7566"/>
    <w:rsid w:val="B3E9CECF"/>
    <w:rsid w:val="B57F5A6D"/>
    <w:rsid w:val="B5FF56F8"/>
    <w:rsid w:val="B6F4349A"/>
    <w:rsid w:val="B77F123E"/>
    <w:rsid w:val="B77F3DAB"/>
    <w:rsid w:val="B77F5DA3"/>
    <w:rsid w:val="B7DBC005"/>
    <w:rsid w:val="BB3D5BA8"/>
    <w:rsid w:val="BBBEEACA"/>
    <w:rsid w:val="BBF749F1"/>
    <w:rsid w:val="BCE7229D"/>
    <w:rsid w:val="BDB3D4AC"/>
    <w:rsid w:val="BDBDBE51"/>
    <w:rsid w:val="BDEBF4F3"/>
    <w:rsid w:val="BDFF5C83"/>
    <w:rsid w:val="BEFDF385"/>
    <w:rsid w:val="BEFE1C09"/>
    <w:rsid w:val="BFDA9282"/>
    <w:rsid w:val="BFFA3330"/>
    <w:rsid w:val="C37F476B"/>
    <w:rsid w:val="C7FE643C"/>
    <w:rsid w:val="CB37B0E2"/>
    <w:rsid w:val="CDBFC3A2"/>
    <w:rsid w:val="CFBC7CDA"/>
    <w:rsid w:val="D3B4BEB2"/>
    <w:rsid w:val="D3FA5E9A"/>
    <w:rsid w:val="D4476DA1"/>
    <w:rsid w:val="D73F5100"/>
    <w:rsid w:val="D7EF417D"/>
    <w:rsid w:val="D7F743EE"/>
    <w:rsid w:val="D83BE220"/>
    <w:rsid w:val="D9CD9E5C"/>
    <w:rsid w:val="DBB6EF22"/>
    <w:rsid w:val="DBEF1460"/>
    <w:rsid w:val="DBF9FA22"/>
    <w:rsid w:val="DBFF693A"/>
    <w:rsid w:val="DCB7A56A"/>
    <w:rsid w:val="DDDAD425"/>
    <w:rsid w:val="DDFB1D65"/>
    <w:rsid w:val="DF0AFBEA"/>
    <w:rsid w:val="DF37B5CC"/>
    <w:rsid w:val="DF4A62E1"/>
    <w:rsid w:val="DF64FE46"/>
    <w:rsid w:val="DFC36B58"/>
    <w:rsid w:val="DFDF5F25"/>
    <w:rsid w:val="DFED8F86"/>
    <w:rsid w:val="DFF6A543"/>
    <w:rsid w:val="DFFFB47D"/>
    <w:rsid w:val="E17AA057"/>
    <w:rsid w:val="E2FFB539"/>
    <w:rsid w:val="E7B6C265"/>
    <w:rsid w:val="E7EF0200"/>
    <w:rsid w:val="E7F3449E"/>
    <w:rsid w:val="EBFFDB1D"/>
    <w:rsid w:val="EC6F7442"/>
    <w:rsid w:val="EDBF642D"/>
    <w:rsid w:val="EDDF3547"/>
    <w:rsid w:val="EDDFB6DE"/>
    <w:rsid w:val="EDFF4018"/>
    <w:rsid w:val="EE2F0F69"/>
    <w:rsid w:val="EED9ED4B"/>
    <w:rsid w:val="EEFFCA4E"/>
    <w:rsid w:val="EF7A6420"/>
    <w:rsid w:val="EFADC5B3"/>
    <w:rsid w:val="EFDD0631"/>
    <w:rsid w:val="EFFD09A0"/>
    <w:rsid w:val="EFFF16FB"/>
    <w:rsid w:val="F3EE0EFB"/>
    <w:rsid w:val="F3F6ACEC"/>
    <w:rsid w:val="F3FFA33C"/>
    <w:rsid w:val="F4DC2E53"/>
    <w:rsid w:val="F5DB18D3"/>
    <w:rsid w:val="F5FFA8AC"/>
    <w:rsid w:val="F6A3AE9C"/>
    <w:rsid w:val="F72F0D15"/>
    <w:rsid w:val="F76F7100"/>
    <w:rsid w:val="F7715B79"/>
    <w:rsid w:val="F7C7BB96"/>
    <w:rsid w:val="F7E774CB"/>
    <w:rsid w:val="F7FD80A1"/>
    <w:rsid w:val="F7FFDFF3"/>
    <w:rsid w:val="F8B368E6"/>
    <w:rsid w:val="F8DBA8B3"/>
    <w:rsid w:val="F96691AD"/>
    <w:rsid w:val="F9AE62E4"/>
    <w:rsid w:val="F9CD4AD4"/>
    <w:rsid w:val="F9F6AB7D"/>
    <w:rsid w:val="FA3F404A"/>
    <w:rsid w:val="FABD9DA5"/>
    <w:rsid w:val="FADB9C4E"/>
    <w:rsid w:val="FAEDB6A6"/>
    <w:rsid w:val="FAFF5A5E"/>
    <w:rsid w:val="FB2958D2"/>
    <w:rsid w:val="FB6F9AFF"/>
    <w:rsid w:val="FB736E14"/>
    <w:rsid w:val="FB7B97B1"/>
    <w:rsid w:val="FBCF3CBA"/>
    <w:rsid w:val="FBEF4085"/>
    <w:rsid w:val="FBFD620F"/>
    <w:rsid w:val="FBFED181"/>
    <w:rsid w:val="FBFF3995"/>
    <w:rsid w:val="FBFF6749"/>
    <w:rsid w:val="FBFF7016"/>
    <w:rsid w:val="FCFF7224"/>
    <w:rsid w:val="FDBD994A"/>
    <w:rsid w:val="FDCBE938"/>
    <w:rsid w:val="FDDF193B"/>
    <w:rsid w:val="FDFD2C0B"/>
    <w:rsid w:val="FDFE6E04"/>
    <w:rsid w:val="FEBF0007"/>
    <w:rsid w:val="FEDF3EF1"/>
    <w:rsid w:val="FEDFFB56"/>
    <w:rsid w:val="FEFF48E4"/>
    <w:rsid w:val="FF32F7E1"/>
    <w:rsid w:val="FF3EB604"/>
    <w:rsid w:val="FF5FB568"/>
    <w:rsid w:val="FF7BDF81"/>
    <w:rsid w:val="FFBB61D9"/>
    <w:rsid w:val="FFCFFF96"/>
    <w:rsid w:val="FFD7A8EE"/>
    <w:rsid w:val="FFDF65D2"/>
    <w:rsid w:val="FFDFAF8B"/>
    <w:rsid w:val="FFE02EF7"/>
    <w:rsid w:val="FFE82C79"/>
    <w:rsid w:val="FFE8EB7A"/>
    <w:rsid w:val="FFEF44EC"/>
    <w:rsid w:val="FFF20A30"/>
    <w:rsid w:val="FFFC6244"/>
    <w:rsid w:val="FFFD7432"/>
    <w:rsid w:val="FFFE11A6"/>
    <w:rsid w:val="FFFE7BA5"/>
    <w:rsid w:val="FFFEFAEF"/>
    <w:rsid w:val="FFFF7C3A"/>
    <w:rsid w:val="FFFFE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qFormat="1" w:unhideWhenUsed="0" w:uiPriority="0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</w:pPr>
    <w:rPr>
      <w:rFonts w:ascii="宋体" w:hAnsi="Times New Roman" w:eastAsia="宋体" w:cs="Times New Roman"/>
      <w:snapToGrid w:val="0"/>
      <w:kern w:val="0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0"/>
    <w:pPr>
      <w:keepNext/>
      <w:numPr>
        <w:ilvl w:val="0"/>
        <w:numId w:val="1"/>
      </w:numPr>
      <w:spacing w:before="120" w:after="60"/>
      <w:outlineLvl w:val="0"/>
    </w:pPr>
    <w:rPr>
      <w:rFonts w:eastAsia="微软雅黑"/>
      <w:b/>
      <w:sz w:val="44"/>
    </w:rPr>
  </w:style>
  <w:style w:type="paragraph" w:styleId="3">
    <w:name w:val="heading 2"/>
    <w:basedOn w:val="1"/>
    <w:next w:val="1"/>
    <w:link w:val="39"/>
    <w:qFormat/>
    <w:uiPriority w:val="0"/>
    <w:pPr>
      <w:outlineLvl w:val="1"/>
    </w:pPr>
    <w:rPr>
      <w:sz w:val="32"/>
    </w:rPr>
  </w:style>
  <w:style w:type="paragraph" w:styleId="4">
    <w:name w:val="heading 3"/>
    <w:basedOn w:val="1"/>
    <w:next w:val="1"/>
    <w:link w:val="40"/>
    <w:qFormat/>
    <w:uiPriority w:val="0"/>
    <w:pPr>
      <w:outlineLvl w:val="2"/>
    </w:pPr>
    <w:rPr>
      <w:sz w:val="28"/>
    </w:rPr>
  </w:style>
  <w:style w:type="paragraph" w:styleId="5">
    <w:name w:val="heading 4"/>
    <w:basedOn w:val="2"/>
    <w:next w:val="1"/>
    <w:link w:val="41"/>
    <w:qFormat/>
    <w:uiPriority w:val="0"/>
    <w:pPr>
      <w:numPr>
        <w:ilvl w:val="3"/>
      </w:numPr>
      <w:outlineLvl w:val="3"/>
    </w:pPr>
    <w:rPr>
      <w:sz w:val="24"/>
    </w:rPr>
  </w:style>
  <w:style w:type="paragraph" w:styleId="6">
    <w:name w:val="heading 5"/>
    <w:basedOn w:val="1"/>
    <w:next w:val="1"/>
    <w:link w:val="42"/>
    <w:qFormat/>
    <w:uiPriority w:val="0"/>
    <w:pPr>
      <w:numPr>
        <w:ilvl w:val="4"/>
        <w:numId w:val="1"/>
      </w:numPr>
      <w:spacing w:before="240" w:after="60"/>
      <w:outlineLvl w:val="4"/>
    </w:pPr>
    <w:rPr>
      <w:b/>
    </w:rPr>
  </w:style>
  <w:style w:type="paragraph" w:styleId="7">
    <w:name w:val="heading 6"/>
    <w:basedOn w:val="1"/>
    <w:next w:val="1"/>
    <w:link w:val="43"/>
    <w:qFormat/>
    <w:uiPriority w:val="0"/>
    <w:pPr>
      <w:numPr>
        <w:ilvl w:val="5"/>
        <w:numId w:val="1"/>
      </w:numPr>
      <w:spacing w:before="240" w:after="60"/>
      <w:outlineLvl w:val="5"/>
    </w:pPr>
    <w:rPr>
      <w:b/>
    </w:rPr>
  </w:style>
  <w:style w:type="paragraph" w:styleId="8">
    <w:name w:val="heading 7"/>
    <w:basedOn w:val="1"/>
    <w:next w:val="1"/>
    <w:link w:val="44"/>
    <w:qFormat/>
    <w:uiPriority w:val="0"/>
    <w:pPr>
      <w:numPr>
        <w:ilvl w:val="6"/>
        <w:numId w:val="1"/>
      </w:numPr>
      <w:spacing w:before="240" w:after="60"/>
      <w:outlineLvl w:val="6"/>
    </w:pPr>
    <w:rPr>
      <w:b/>
    </w:rPr>
  </w:style>
  <w:style w:type="paragraph" w:styleId="9">
    <w:name w:val="heading 8"/>
    <w:basedOn w:val="1"/>
    <w:next w:val="1"/>
    <w:link w:val="45"/>
    <w:qFormat/>
    <w:uiPriority w:val="0"/>
    <w:pPr>
      <w:numPr>
        <w:ilvl w:val="7"/>
        <w:numId w:val="1"/>
      </w:numPr>
      <w:spacing w:before="240" w:after="60"/>
      <w:outlineLvl w:val="7"/>
    </w:pPr>
    <w:rPr>
      <w:b/>
    </w:rPr>
  </w:style>
  <w:style w:type="paragraph" w:styleId="10">
    <w:name w:val="heading 9"/>
    <w:basedOn w:val="1"/>
    <w:next w:val="1"/>
    <w:link w:val="46"/>
    <w:qFormat/>
    <w:uiPriority w:val="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31">
    <w:name w:val="Default Paragraph Font"/>
    <w:unhideWhenUsed/>
    <w:qFormat/>
    <w:uiPriority w:val="1"/>
  </w:style>
  <w:style w:type="table" w:default="1" w:styleId="3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qFormat/>
    <w:uiPriority w:val="0"/>
    <w:pPr>
      <w:ind w:left="1260"/>
    </w:pPr>
    <w:rPr>
      <w:rFonts w:ascii="Times New Roman"/>
      <w:sz w:val="18"/>
      <w:szCs w:val="18"/>
    </w:rPr>
  </w:style>
  <w:style w:type="paragraph" w:styleId="12">
    <w:name w:val="Normal Indent"/>
    <w:basedOn w:val="1"/>
    <w:qFormat/>
    <w:uiPriority w:val="0"/>
    <w:pPr>
      <w:ind w:left="900" w:hanging="900"/>
    </w:pPr>
  </w:style>
  <w:style w:type="paragraph" w:styleId="13">
    <w:name w:val="Document Map"/>
    <w:basedOn w:val="1"/>
    <w:link w:val="68"/>
    <w:semiHidden/>
    <w:qFormat/>
    <w:uiPriority w:val="0"/>
    <w:pPr>
      <w:shd w:val="clear" w:color="auto" w:fill="000080"/>
    </w:pPr>
  </w:style>
  <w:style w:type="paragraph" w:styleId="14">
    <w:name w:val="Body Text 3"/>
    <w:basedOn w:val="1"/>
    <w:link w:val="72"/>
    <w:qFormat/>
    <w:uiPriority w:val="0"/>
    <w:pPr>
      <w:spacing w:line="240" w:lineRule="auto"/>
      <w:jc w:val="both"/>
    </w:pPr>
    <w:rPr>
      <w:rFonts w:ascii="Times New Roman"/>
      <w:snapToGrid/>
      <w:kern w:val="2"/>
      <w:sz w:val="18"/>
    </w:rPr>
  </w:style>
  <w:style w:type="paragraph" w:styleId="15">
    <w:name w:val="Body Text"/>
    <w:basedOn w:val="1"/>
    <w:link w:val="67"/>
    <w:qFormat/>
    <w:uiPriority w:val="0"/>
    <w:pPr>
      <w:keepLines/>
      <w:spacing w:after="120"/>
      <w:ind w:left="720"/>
    </w:pPr>
  </w:style>
  <w:style w:type="paragraph" w:styleId="16">
    <w:name w:val="toc 5"/>
    <w:basedOn w:val="1"/>
    <w:next w:val="1"/>
    <w:semiHidden/>
    <w:qFormat/>
    <w:uiPriority w:val="0"/>
    <w:pPr>
      <w:ind w:left="840"/>
    </w:pPr>
    <w:rPr>
      <w:rFonts w:ascii="Times New Roman"/>
      <w:sz w:val="18"/>
      <w:szCs w:val="18"/>
    </w:rPr>
  </w:style>
  <w:style w:type="paragraph" w:styleId="17">
    <w:name w:val="toc 3"/>
    <w:basedOn w:val="1"/>
    <w:next w:val="1"/>
    <w:qFormat/>
    <w:uiPriority w:val="39"/>
    <w:pPr>
      <w:ind w:left="420"/>
    </w:pPr>
    <w:rPr>
      <w:rFonts w:ascii="Times New Roman"/>
      <w:iCs/>
      <w:sz w:val="20"/>
    </w:rPr>
  </w:style>
  <w:style w:type="paragraph" w:styleId="18">
    <w:name w:val="toc 8"/>
    <w:basedOn w:val="1"/>
    <w:next w:val="1"/>
    <w:semiHidden/>
    <w:qFormat/>
    <w:uiPriority w:val="0"/>
    <w:pPr>
      <w:ind w:left="1470"/>
    </w:pPr>
    <w:rPr>
      <w:rFonts w:ascii="Times New Roman"/>
      <w:sz w:val="18"/>
      <w:szCs w:val="18"/>
    </w:rPr>
  </w:style>
  <w:style w:type="paragraph" w:styleId="19">
    <w:name w:val="Balloon Text"/>
    <w:basedOn w:val="1"/>
    <w:link w:val="60"/>
    <w:semiHidden/>
    <w:qFormat/>
    <w:uiPriority w:val="0"/>
    <w:rPr>
      <w:sz w:val="18"/>
      <w:szCs w:val="18"/>
    </w:rPr>
  </w:style>
  <w:style w:type="paragraph" w:styleId="20">
    <w:name w:val="footer"/>
    <w:basedOn w:val="1"/>
    <w:link w:val="80"/>
    <w:qFormat/>
    <w:uiPriority w:val="0"/>
    <w:pPr>
      <w:tabs>
        <w:tab w:val="center" w:pos="4320"/>
        <w:tab w:val="right" w:pos="8640"/>
      </w:tabs>
    </w:pPr>
  </w:style>
  <w:style w:type="paragraph" w:styleId="21">
    <w:name w:val="header"/>
    <w:basedOn w:val="1"/>
    <w:link w:val="71"/>
    <w:qFormat/>
    <w:uiPriority w:val="0"/>
    <w:pPr>
      <w:tabs>
        <w:tab w:val="center" w:pos="4320"/>
        <w:tab w:val="right" w:pos="8640"/>
      </w:tabs>
    </w:pPr>
  </w:style>
  <w:style w:type="paragraph" w:styleId="22">
    <w:name w:val="toc 1"/>
    <w:basedOn w:val="1"/>
    <w:next w:val="1"/>
    <w:qFormat/>
    <w:uiPriority w:val="39"/>
    <w:pPr>
      <w:spacing w:before="120" w:after="120"/>
    </w:pPr>
    <w:rPr>
      <w:rFonts w:ascii="Times New Roman"/>
      <w:b/>
      <w:bCs/>
      <w:caps/>
      <w:sz w:val="20"/>
    </w:rPr>
  </w:style>
  <w:style w:type="paragraph" w:styleId="23">
    <w:name w:val="toc 4"/>
    <w:basedOn w:val="1"/>
    <w:next w:val="1"/>
    <w:semiHidden/>
    <w:qFormat/>
    <w:uiPriority w:val="0"/>
    <w:pPr>
      <w:ind w:left="630"/>
    </w:pPr>
    <w:rPr>
      <w:rFonts w:ascii="Times New Roman"/>
      <w:sz w:val="18"/>
      <w:szCs w:val="18"/>
    </w:rPr>
  </w:style>
  <w:style w:type="paragraph" w:styleId="24">
    <w:name w:val="Subtitle"/>
    <w:basedOn w:val="1"/>
    <w:link w:val="59"/>
    <w:qFormat/>
    <w:uiPriority w:val="0"/>
    <w:pPr>
      <w:widowControl/>
      <w:overflowPunct w:val="0"/>
      <w:autoSpaceDE w:val="0"/>
      <w:autoSpaceDN w:val="0"/>
      <w:adjustRightInd w:val="0"/>
      <w:spacing w:after="60" w:line="240" w:lineRule="auto"/>
      <w:jc w:val="right"/>
      <w:textAlignment w:val="baseline"/>
    </w:pPr>
    <w:rPr>
      <w:rFonts w:ascii="Arial" w:hAnsi="Arial"/>
      <w:i/>
      <w:snapToGrid/>
      <w:sz w:val="24"/>
    </w:rPr>
  </w:style>
  <w:style w:type="paragraph" w:styleId="25">
    <w:name w:val="footnote text"/>
    <w:basedOn w:val="1"/>
    <w:link w:val="55"/>
    <w:semiHidden/>
    <w:qFormat/>
    <w:uiPriority w:val="0"/>
    <w:pPr>
      <w:keepNext/>
      <w:keepLines/>
      <w:pBdr>
        <w:bottom w:val="single" w:color="000000" w:sz="6" w:space="0"/>
      </w:pBdr>
      <w:spacing w:before="40" w:after="40"/>
      <w:ind w:left="360" w:hanging="360"/>
    </w:pPr>
    <w:rPr>
      <w:sz w:val="16"/>
    </w:rPr>
  </w:style>
  <w:style w:type="paragraph" w:styleId="26">
    <w:name w:val="toc 6"/>
    <w:basedOn w:val="1"/>
    <w:next w:val="1"/>
    <w:semiHidden/>
    <w:qFormat/>
    <w:uiPriority w:val="0"/>
    <w:pPr>
      <w:ind w:left="1050"/>
    </w:pPr>
    <w:rPr>
      <w:rFonts w:ascii="Times New Roman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</w:pPr>
    <w:rPr>
      <w:rFonts w:ascii="Times New Roman"/>
      <w:smallCaps/>
      <w:sz w:val="20"/>
    </w:rPr>
  </w:style>
  <w:style w:type="paragraph" w:styleId="28">
    <w:name w:val="toc 9"/>
    <w:basedOn w:val="1"/>
    <w:next w:val="1"/>
    <w:semiHidden/>
    <w:qFormat/>
    <w:uiPriority w:val="0"/>
    <w:pPr>
      <w:ind w:left="1680"/>
    </w:pPr>
    <w:rPr>
      <w:rFonts w:ascii="Times New Roman"/>
      <w:sz w:val="18"/>
      <w:szCs w:val="18"/>
    </w:rPr>
  </w:style>
  <w:style w:type="paragraph" w:styleId="29">
    <w:name w:val="Normal (Web)"/>
    <w:basedOn w:val="1"/>
    <w:qFormat/>
    <w:uiPriority w:val="0"/>
    <w:pPr>
      <w:widowControl/>
      <w:spacing w:before="100" w:beforeAutospacing="1" w:after="100" w:afterAutospacing="1" w:line="360" w:lineRule="atLeast"/>
    </w:pPr>
    <w:rPr>
      <w:rFonts w:hAnsi="宋体" w:cs="宋体"/>
      <w:snapToGrid/>
      <w:szCs w:val="21"/>
    </w:rPr>
  </w:style>
  <w:style w:type="paragraph" w:styleId="30">
    <w:name w:val="Title"/>
    <w:basedOn w:val="1"/>
    <w:next w:val="1"/>
    <w:link w:val="70"/>
    <w:qFormat/>
    <w:uiPriority w:val="0"/>
    <w:pPr>
      <w:spacing w:line="240" w:lineRule="auto"/>
      <w:jc w:val="center"/>
    </w:pPr>
    <w:rPr>
      <w:rFonts w:eastAsia="微软雅黑"/>
      <w:b/>
      <w:sz w:val="36"/>
    </w:rPr>
  </w:style>
  <w:style w:type="character" w:styleId="32">
    <w:name w:val="page number"/>
    <w:basedOn w:val="31"/>
    <w:qFormat/>
    <w:uiPriority w:val="0"/>
  </w:style>
  <w:style w:type="character" w:styleId="33">
    <w:name w:val="FollowedHyperlink"/>
    <w:basedOn w:val="31"/>
    <w:unhideWhenUsed/>
    <w:qFormat/>
    <w:uiPriority w:val="99"/>
    <w:rPr>
      <w:color w:val="800080"/>
      <w:u w:val="single"/>
    </w:rPr>
  </w:style>
  <w:style w:type="character" w:styleId="34">
    <w:name w:val="Hyperlink"/>
    <w:qFormat/>
    <w:uiPriority w:val="99"/>
    <w:rPr>
      <w:color w:val="0000FF"/>
      <w:u w:val="single"/>
    </w:rPr>
  </w:style>
  <w:style w:type="character" w:styleId="35">
    <w:name w:val="footnote reference"/>
    <w:semiHidden/>
    <w:qFormat/>
    <w:uiPriority w:val="0"/>
    <w:rPr>
      <w:sz w:val="20"/>
      <w:vertAlign w:val="superscript"/>
    </w:rPr>
  </w:style>
  <w:style w:type="table" w:styleId="37">
    <w:name w:val="Table Grid"/>
    <w:basedOn w:val="3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8">
    <w:name w:val="标题 1 字符"/>
    <w:basedOn w:val="31"/>
    <w:link w:val="2"/>
    <w:qFormat/>
    <w:uiPriority w:val="0"/>
    <w:rPr>
      <w:rFonts w:ascii="宋体" w:hAnsi="Times New Roman" w:eastAsia="微软雅黑" w:cs="Times New Roman"/>
      <w:b/>
      <w:snapToGrid w:val="0"/>
      <w:kern w:val="0"/>
      <w:sz w:val="44"/>
      <w:szCs w:val="20"/>
    </w:rPr>
  </w:style>
  <w:style w:type="character" w:customStyle="1" w:styleId="39">
    <w:name w:val="标题 2 字符"/>
    <w:basedOn w:val="31"/>
    <w:link w:val="3"/>
    <w:qFormat/>
    <w:uiPriority w:val="0"/>
    <w:rPr>
      <w:rFonts w:ascii="宋体" w:hAnsi="Times New Roman" w:eastAsia="微软雅黑" w:cs="Times New Roman"/>
      <w:b/>
      <w:snapToGrid w:val="0"/>
      <w:kern w:val="0"/>
      <w:sz w:val="32"/>
      <w:szCs w:val="20"/>
    </w:rPr>
  </w:style>
  <w:style w:type="character" w:customStyle="1" w:styleId="40">
    <w:name w:val="标题 3 字符"/>
    <w:basedOn w:val="31"/>
    <w:link w:val="4"/>
    <w:qFormat/>
    <w:uiPriority w:val="0"/>
    <w:rPr>
      <w:rFonts w:ascii="宋体" w:hAnsi="Times New Roman" w:eastAsia="微软雅黑" w:cs="Times New Roman"/>
      <w:b/>
      <w:snapToGrid w:val="0"/>
      <w:kern w:val="0"/>
      <w:sz w:val="28"/>
      <w:szCs w:val="20"/>
    </w:rPr>
  </w:style>
  <w:style w:type="character" w:customStyle="1" w:styleId="41">
    <w:name w:val="标题 4 字符"/>
    <w:basedOn w:val="31"/>
    <w:link w:val="5"/>
    <w:qFormat/>
    <w:uiPriority w:val="0"/>
    <w:rPr>
      <w:rFonts w:ascii="宋体" w:hAnsi="Times New Roman" w:eastAsia="微软雅黑" w:cs="Times New Roman"/>
      <w:b/>
      <w:snapToGrid w:val="0"/>
      <w:kern w:val="0"/>
      <w:szCs w:val="20"/>
    </w:rPr>
  </w:style>
  <w:style w:type="character" w:customStyle="1" w:styleId="42">
    <w:name w:val="标题 5 字符"/>
    <w:basedOn w:val="31"/>
    <w:link w:val="6"/>
    <w:qFormat/>
    <w:uiPriority w:val="0"/>
    <w:rPr>
      <w:rFonts w:ascii="宋体" w:hAnsi="Times New Roman" w:eastAsia="宋体" w:cs="Times New Roman"/>
      <w:b/>
      <w:snapToGrid w:val="0"/>
      <w:kern w:val="0"/>
      <w:sz w:val="21"/>
      <w:szCs w:val="20"/>
    </w:rPr>
  </w:style>
  <w:style w:type="character" w:customStyle="1" w:styleId="43">
    <w:name w:val="标题 6 字符"/>
    <w:basedOn w:val="31"/>
    <w:link w:val="7"/>
    <w:qFormat/>
    <w:uiPriority w:val="0"/>
    <w:rPr>
      <w:rFonts w:ascii="宋体" w:hAnsi="Times New Roman" w:eastAsia="宋体" w:cs="Times New Roman"/>
      <w:b/>
      <w:snapToGrid w:val="0"/>
      <w:kern w:val="0"/>
      <w:sz w:val="21"/>
      <w:szCs w:val="20"/>
    </w:rPr>
  </w:style>
  <w:style w:type="character" w:customStyle="1" w:styleId="44">
    <w:name w:val="标题 7 字符"/>
    <w:basedOn w:val="31"/>
    <w:link w:val="8"/>
    <w:qFormat/>
    <w:uiPriority w:val="0"/>
    <w:rPr>
      <w:rFonts w:ascii="宋体" w:hAnsi="Times New Roman" w:eastAsia="宋体" w:cs="Times New Roman"/>
      <w:b/>
      <w:snapToGrid w:val="0"/>
      <w:kern w:val="0"/>
      <w:sz w:val="21"/>
      <w:szCs w:val="20"/>
    </w:rPr>
  </w:style>
  <w:style w:type="character" w:customStyle="1" w:styleId="45">
    <w:name w:val="标题 8 字符"/>
    <w:basedOn w:val="31"/>
    <w:link w:val="9"/>
    <w:qFormat/>
    <w:uiPriority w:val="0"/>
    <w:rPr>
      <w:rFonts w:ascii="宋体" w:hAnsi="Times New Roman" w:eastAsia="宋体" w:cs="Times New Roman"/>
      <w:b/>
      <w:snapToGrid w:val="0"/>
      <w:kern w:val="0"/>
      <w:sz w:val="21"/>
      <w:szCs w:val="20"/>
    </w:rPr>
  </w:style>
  <w:style w:type="character" w:customStyle="1" w:styleId="46">
    <w:name w:val="标题 9 字符"/>
    <w:basedOn w:val="31"/>
    <w:link w:val="10"/>
    <w:qFormat/>
    <w:uiPriority w:val="0"/>
    <w:rPr>
      <w:rFonts w:ascii="宋体" w:hAnsi="Times New Roman" w:eastAsia="宋体" w:cs="Times New Roman"/>
      <w:b/>
      <w:i/>
      <w:snapToGrid w:val="0"/>
      <w:kern w:val="0"/>
      <w:sz w:val="18"/>
      <w:szCs w:val="20"/>
    </w:rPr>
  </w:style>
  <w:style w:type="character" w:customStyle="1" w:styleId="47">
    <w:name w:val="tw4winMark"/>
    <w:qFormat/>
    <w:uiPriority w:val="0"/>
    <w:rPr>
      <w:rFonts w:ascii="Courier New" w:hAnsi="Courier New"/>
      <w:vanish/>
      <w:color w:val="800080"/>
      <w:vertAlign w:val="subscript"/>
    </w:rPr>
  </w:style>
  <w:style w:type="character" w:customStyle="1" w:styleId="48">
    <w:name w:val="tw4winExternal"/>
    <w:qFormat/>
    <w:uiPriority w:val="0"/>
    <w:rPr>
      <w:rFonts w:ascii="Courier New" w:hAnsi="Courier New"/>
      <w:color w:val="808080"/>
    </w:rPr>
  </w:style>
  <w:style w:type="character" w:customStyle="1" w:styleId="49">
    <w:name w:val="tw4winJump"/>
    <w:qFormat/>
    <w:uiPriority w:val="0"/>
    <w:rPr>
      <w:rFonts w:ascii="Courier New" w:hAnsi="Courier New"/>
      <w:color w:val="008080"/>
    </w:rPr>
  </w:style>
  <w:style w:type="character" w:customStyle="1" w:styleId="50">
    <w:name w:val="tw4winTerm"/>
    <w:qFormat/>
    <w:uiPriority w:val="0"/>
    <w:rPr>
      <w:color w:val="0000FF"/>
    </w:rPr>
  </w:style>
  <w:style w:type="character" w:customStyle="1" w:styleId="51">
    <w:name w:val="tw4winPopup"/>
    <w:qFormat/>
    <w:uiPriority w:val="0"/>
    <w:rPr>
      <w:rFonts w:ascii="Courier New" w:hAnsi="Courier New"/>
      <w:color w:val="008000"/>
    </w:rPr>
  </w:style>
  <w:style w:type="character" w:customStyle="1" w:styleId="52">
    <w:name w:val="tw4winInternal"/>
    <w:qFormat/>
    <w:uiPriority w:val="0"/>
    <w:rPr>
      <w:rFonts w:ascii="Courier New" w:hAnsi="Courier New"/>
      <w:color w:val="FF0000"/>
    </w:rPr>
  </w:style>
  <w:style w:type="character" w:customStyle="1" w:styleId="53">
    <w:name w:val="tw4winError"/>
    <w:qFormat/>
    <w:uiPriority w:val="0"/>
    <w:rPr>
      <w:rFonts w:ascii="Courier New" w:hAnsi="Courier New"/>
      <w:color w:val="00FF00"/>
      <w:sz w:val="40"/>
    </w:rPr>
  </w:style>
  <w:style w:type="paragraph" w:customStyle="1" w:styleId="54">
    <w:name w:val="Char"/>
    <w:basedOn w:val="1"/>
    <w:qFormat/>
    <w:uiPriority w:val="0"/>
    <w:pPr>
      <w:spacing w:line="240" w:lineRule="auto"/>
      <w:ind w:firstLine="200" w:firstLineChars="200"/>
      <w:jc w:val="both"/>
    </w:pPr>
    <w:rPr>
      <w:rFonts w:ascii="Tahoma" w:hAnsi="Tahoma"/>
      <w:snapToGrid/>
      <w:sz w:val="24"/>
    </w:rPr>
  </w:style>
  <w:style w:type="character" w:customStyle="1" w:styleId="55">
    <w:name w:val="脚注文本 字符"/>
    <w:basedOn w:val="31"/>
    <w:link w:val="25"/>
    <w:semiHidden/>
    <w:qFormat/>
    <w:uiPriority w:val="0"/>
    <w:rPr>
      <w:rFonts w:ascii="宋体" w:hAnsi="Times New Roman" w:eastAsia="宋体" w:cs="Times New Roman"/>
      <w:snapToGrid w:val="0"/>
      <w:kern w:val="0"/>
      <w:sz w:val="16"/>
      <w:szCs w:val="20"/>
    </w:rPr>
  </w:style>
  <w:style w:type="paragraph" w:customStyle="1" w:styleId="56">
    <w:name w:val="List Paragraph"/>
    <w:basedOn w:val="1"/>
    <w:qFormat/>
    <w:uiPriority w:val="34"/>
    <w:pPr>
      <w:ind w:firstLine="420" w:firstLineChars="200"/>
    </w:pPr>
  </w:style>
  <w:style w:type="paragraph" w:customStyle="1" w:styleId="57">
    <w:name w:val="Tabletext"/>
    <w:basedOn w:val="1"/>
    <w:qFormat/>
    <w:uiPriority w:val="0"/>
    <w:pPr>
      <w:keepLines/>
      <w:spacing w:after="120"/>
    </w:pPr>
  </w:style>
  <w:style w:type="paragraph" w:customStyle="1" w:styleId="58">
    <w:name w:val="样式 居中"/>
    <w:basedOn w:val="1"/>
    <w:qFormat/>
    <w:uiPriority w:val="0"/>
    <w:pPr>
      <w:jc w:val="center"/>
    </w:pPr>
    <w:rPr>
      <w:rFonts w:cs="宋体"/>
    </w:rPr>
  </w:style>
  <w:style w:type="character" w:customStyle="1" w:styleId="59">
    <w:name w:val="副标题 字符"/>
    <w:basedOn w:val="31"/>
    <w:link w:val="24"/>
    <w:qFormat/>
    <w:uiPriority w:val="0"/>
    <w:rPr>
      <w:rFonts w:ascii="Arial" w:hAnsi="Arial" w:eastAsia="宋体" w:cs="Times New Roman"/>
      <w:i/>
      <w:kern w:val="0"/>
      <w:szCs w:val="20"/>
    </w:rPr>
  </w:style>
  <w:style w:type="character" w:customStyle="1" w:styleId="60">
    <w:name w:val="批注框文本 字符"/>
    <w:basedOn w:val="31"/>
    <w:link w:val="19"/>
    <w:semiHidden/>
    <w:qFormat/>
    <w:uiPriority w:val="0"/>
    <w:rPr>
      <w:rFonts w:ascii="宋体" w:hAnsi="Times New Roman" w:eastAsia="宋体" w:cs="Times New Roman"/>
      <w:snapToGrid w:val="0"/>
      <w:kern w:val="0"/>
      <w:sz w:val="18"/>
      <w:szCs w:val="18"/>
    </w:rPr>
  </w:style>
  <w:style w:type="paragraph" w:customStyle="1" w:styleId="61">
    <w:name w:val="样式1"/>
    <w:basedOn w:val="2"/>
    <w:qFormat/>
    <w:uiPriority w:val="0"/>
  </w:style>
  <w:style w:type="paragraph" w:customStyle="1" w:styleId="62">
    <w:name w:val="Bullet"/>
    <w:basedOn w:val="1"/>
    <w:qFormat/>
    <w:uiPriority w:val="0"/>
    <w:pPr>
      <w:widowControl/>
      <w:tabs>
        <w:tab w:val="left" w:pos="360"/>
        <w:tab w:val="left" w:pos="720"/>
      </w:tabs>
      <w:spacing w:before="120" w:line="240" w:lineRule="auto"/>
      <w:ind w:left="720" w:right="360"/>
      <w:jc w:val="both"/>
    </w:pPr>
  </w:style>
  <w:style w:type="paragraph" w:customStyle="1" w:styleId="63">
    <w:name w:val="InfoBlue"/>
    <w:basedOn w:val="1"/>
    <w:next w:val="15"/>
    <w:qFormat/>
    <w:uiPriority w:val="0"/>
    <w:pPr>
      <w:spacing w:after="120"/>
      <w:ind w:left="720"/>
    </w:pPr>
    <w:rPr>
      <w:i/>
      <w:color w:val="0000FF"/>
    </w:rPr>
  </w:style>
  <w:style w:type="paragraph" w:customStyle="1" w:styleId="64">
    <w:name w:val="Paragraph3"/>
    <w:basedOn w:val="1"/>
    <w:qFormat/>
    <w:uiPriority w:val="0"/>
    <w:pPr>
      <w:spacing w:before="80" w:line="240" w:lineRule="auto"/>
      <w:ind w:left="1530"/>
      <w:jc w:val="both"/>
    </w:pPr>
  </w:style>
  <w:style w:type="paragraph" w:customStyle="1" w:styleId="65">
    <w:name w:val="Paragraph1"/>
    <w:basedOn w:val="1"/>
    <w:qFormat/>
    <w:uiPriority w:val="0"/>
    <w:pPr>
      <w:spacing w:before="80" w:line="240" w:lineRule="auto"/>
      <w:jc w:val="both"/>
    </w:pPr>
  </w:style>
  <w:style w:type="paragraph" w:customStyle="1" w:styleId="66">
    <w:name w:val="Default Text"/>
    <w:basedOn w:val="1"/>
    <w:qFormat/>
    <w:uiPriority w:val="0"/>
    <w:pPr>
      <w:widowControl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/>
      <w:snapToGrid/>
      <w:sz w:val="24"/>
      <w:szCs w:val="24"/>
    </w:rPr>
  </w:style>
  <w:style w:type="character" w:customStyle="1" w:styleId="67">
    <w:name w:val="正文文本 字符"/>
    <w:basedOn w:val="31"/>
    <w:link w:val="15"/>
    <w:qFormat/>
    <w:uiPriority w:val="0"/>
    <w:rPr>
      <w:rFonts w:ascii="宋体" w:hAnsi="Times New Roman" w:eastAsia="宋体" w:cs="Times New Roman"/>
      <w:snapToGrid w:val="0"/>
      <w:kern w:val="0"/>
      <w:sz w:val="21"/>
      <w:szCs w:val="20"/>
    </w:rPr>
  </w:style>
  <w:style w:type="character" w:customStyle="1" w:styleId="68">
    <w:name w:val="文档结构图 字符"/>
    <w:basedOn w:val="31"/>
    <w:link w:val="13"/>
    <w:semiHidden/>
    <w:qFormat/>
    <w:uiPriority w:val="0"/>
    <w:rPr>
      <w:rFonts w:ascii="宋体" w:hAnsi="Times New Roman" w:eastAsia="宋体" w:cs="Times New Roman"/>
      <w:snapToGrid w:val="0"/>
      <w:kern w:val="0"/>
      <w:sz w:val="21"/>
      <w:szCs w:val="20"/>
      <w:shd w:val="clear" w:color="auto" w:fill="000080"/>
    </w:rPr>
  </w:style>
  <w:style w:type="paragraph" w:customStyle="1" w:styleId="69">
    <w:name w:val="Blockquote"/>
    <w:basedOn w:val="1"/>
    <w:qFormat/>
    <w:uiPriority w:val="0"/>
    <w:pPr>
      <w:widowControl/>
      <w:spacing w:before="100" w:after="100" w:line="240" w:lineRule="auto"/>
      <w:ind w:left="360" w:right="360"/>
    </w:pPr>
    <w:rPr>
      <w:sz w:val="24"/>
      <w:lang w:val="en-CA"/>
    </w:rPr>
  </w:style>
  <w:style w:type="character" w:customStyle="1" w:styleId="70">
    <w:name w:val="标题 字符"/>
    <w:basedOn w:val="31"/>
    <w:link w:val="30"/>
    <w:qFormat/>
    <w:uiPriority w:val="0"/>
    <w:rPr>
      <w:rFonts w:ascii="宋体" w:hAnsi="Times New Roman" w:eastAsia="微软雅黑" w:cs="Times New Roman"/>
      <w:b/>
      <w:snapToGrid w:val="0"/>
      <w:kern w:val="0"/>
      <w:sz w:val="36"/>
      <w:szCs w:val="20"/>
    </w:rPr>
  </w:style>
  <w:style w:type="character" w:customStyle="1" w:styleId="71">
    <w:name w:val="页眉 字符"/>
    <w:basedOn w:val="31"/>
    <w:link w:val="21"/>
    <w:qFormat/>
    <w:uiPriority w:val="0"/>
    <w:rPr>
      <w:rFonts w:ascii="宋体" w:hAnsi="Times New Roman" w:eastAsia="宋体" w:cs="Times New Roman"/>
      <w:snapToGrid w:val="0"/>
      <w:kern w:val="0"/>
      <w:sz w:val="21"/>
      <w:szCs w:val="20"/>
    </w:rPr>
  </w:style>
  <w:style w:type="character" w:customStyle="1" w:styleId="72">
    <w:name w:val="正文文本 3 字符"/>
    <w:basedOn w:val="31"/>
    <w:link w:val="14"/>
    <w:qFormat/>
    <w:uiPriority w:val="0"/>
    <w:rPr>
      <w:rFonts w:ascii="Times New Roman" w:hAnsi="Times New Roman" w:eastAsia="宋体" w:cs="Times New Roman"/>
      <w:sz w:val="18"/>
      <w:szCs w:val="20"/>
    </w:rPr>
  </w:style>
  <w:style w:type="paragraph" w:customStyle="1" w:styleId="73">
    <w:name w:val="Body"/>
    <w:basedOn w:val="1"/>
    <w:qFormat/>
    <w:uiPriority w:val="0"/>
    <w:pPr>
      <w:widowControl/>
      <w:spacing w:before="120" w:line="240" w:lineRule="auto"/>
      <w:jc w:val="both"/>
    </w:pPr>
  </w:style>
  <w:style w:type="paragraph" w:customStyle="1" w:styleId="74">
    <w:name w:val="Paragraph4"/>
    <w:basedOn w:val="1"/>
    <w:qFormat/>
    <w:uiPriority w:val="0"/>
    <w:pPr>
      <w:spacing w:before="80" w:line="240" w:lineRule="auto"/>
      <w:ind w:left="2250"/>
      <w:jc w:val="both"/>
    </w:pPr>
  </w:style>
  <w:style w:type="paragraph" w:customStyle="1" w:styleId="75">
    <w:name w:val="Main Title"/>
    <w:basedOn w:val="1"/>
    <w:qFormat/>
    <w:uiPriority w:val="0"/>
    <w:pPr>
      <w:spacing w:before="480" w:after="60" w:line="240" w:lineRule="auto"/>
      <w:jc w:val="center"/>
    </w:pPr>
    <w:rPr>
      <w:b/>
      <w:kern w:val="28"/>
      <w:sz w:val="32"/>
    </w:rPr>
  </w:style>
  <w:style w:type="paragraph" w:customStyle="1" w:styleId="76">
    <w:name w:val="Bullet2"/>
    <w:basedOn w:val="1"/>
    <w:qFormat/>
    <w:uiPriority w:val="0"/>
    <w:pPr>
      <w:ind w:left="1440" w:hanging="360"/>
    </w:pPr>
    <w:rPr>
      <w:color w:val="000080"/>
    </w:rPr>
  </w:style>
  <w:style w:type="paragraph" w:customStyle="1" w:styleId="77">
    <w:name w:val="Paragraph2"/>
    <w:basedOn w:val="1"/>
    <w:qFormat/>
    <w:uiPriority w:val="0"/>
    <w:pPr>
      <w:spacing w:before="80"/>
      <w:ind w:left="720"/>
      <w:jc w:val="both"/>
    </w:pPr>
    <w:rPr>
      <w:color w:val="000000"/>
      <w:lang w:val="en-AU"/>
    </w:rPr>
  </w:style>
  <w:style w:type="paragraph" w:customStyle="1" w:styleId="78">
    <w:name w:val="样式2"/>
    <w:basedOn w:val="1"/>
    <w:qFormat/>
    <w:uiPriority w:val="0"/>
  </w:style>
  <w:style w:type="paragraph" w:customStyle="1" w:styleId="79">
    <w:name w:val="Bullet1"/>
    <w:basedOn w:val="1"/>
    <w:qFormat/>
    <w:uiPriority w:val="0"/>
    <w:pPr>
      <w:ind w:left="720" w:hanging="432"/>
    </w:pPr>
  </w:style>
  <w:style w:type="character" w:customStyle="1" w:styleId="80">
    <w:name w:val="页脚 字符"/>
    <w:basedOn w:val="31"/>
    <w:link w:val="20"/>
    <w:qFormat/>
    <w:uiPriority w:val="0"/>
    <w:rPr>
      <w:rFonts w:ascii="宋体" w:hAnsi="Times New Roman" w:eastAsia="宋体" w:cs="Times New Roman"/>
      <w:snapToGrid w:val="0"/>
      <w:kern w:val="0"/>
      <w:sz w:val="21"/>
      <w:szCs w:val="20"/>
    </w:rPr>
  </w:style>
  <w:style w:type="paragraph" w:customStyle="1" w:styleId="81">
    <w:name w:val="TOC Heading"/>
    <w:basedOn w:val="2"/>
    <w:next w:val="1"/>
    <w:unhideWhenUsed/>
    <w:qFormat/>
    <w:uiPriority w:val="39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="Calibri Light" w:hAnsi="Calibri Light"/>
      <w:b w:val="0"/>
      <w:snapToGrid/>
      <w:color w:val="2E74B5"/>
      <w:sz w:val="32"/>
      <w:szCs w:val="32"/>
    </w:rPr>
  </w:style>
  <w:style w:type="paragraph" w:customStyle="1" w:styleId="82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.pingfang sc" w:hAnsi=".pingfang sc" w:eastAsia=".pingfang sc" w:cs=".pingfang sc"/>
      <w:color w:val="14171C"/>
      <w:kern w:val="0"/>
      <w:sz w:val="28"/>
      <w:szCs w:val="28"/>
      <w:lang w:val="en-US" w:eastAsia="zh-CN" w:bidi="ar"/>
    </w:rPr>
  </w:style>
  <w:style w:type="character" w:customStyle="1" w:styleId="83">
    <w:name w:val="s1"/>
    <w:basedOn w:val="31"/>
    <w:qFormat/>
    <w:uiPriority w:val="0"/>
    <w:rPr>
      <w:rFonts w:ascii="Helvetica Neue" w:hAnsi="Helvetica Neue" w:eastAsia="Helvetica Neue" w:cs="Helvetica Neue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290</Words>
  <Characters>1655</Characters>
  <Lines>13</Lines>
  <Paragraphs>3</Paragraphs>
  <ScaleCrop>false</ScaleCrop>
  <LinksUpToDate>false</LinksUpToDate>
  <CharactersWithSpaces>1942</CharactersWithSpaces>
  <Application>WPS Office_2.7.1.4479_F1E327BC-269C-435d-A152-05C5408002CA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2019-07-14T02:44:00Z</dcterms:created>
  <dc:creator>FREE0231</dc:creator>
  <cp:lastModifiedBy>paul</cp:lastModifiedBy>
  <dcterms:modified xsi:type="dcterms:W3CDTF">2020-09-29T15:23:24Z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