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微软雅黑" w:hAnsi="微软雅黑" w:eastAsia="微软雅黑" w:cs="微软雅黑"/>
          <w:b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333333"/>
          <w:sz w:val="30"/>
          <w:szCs w:val="30"/>
        </w:rPr>
        <w:t>无理由退货服务风控方案</w:t>
      </w:r>
    </w:p>
    <w:p>
      <w:pPr>
        <w:spacing w:line="300" w:lineRule="exact"/>
        <w:rPr>
          <w:rFonts w:ascii="微软雅黑" w:hAnsi="微软雅黑" w:eastAsia="微软雅黑" w:cs="微软雅黑"/>
          <w:b/>
          <w:color w:val="333333"/>
          <w:sz w:val="30"/>
          <w:szCs w:val="30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项目背景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z w:val="24"/>
        </w:rPr>
        <w:t xml:space="preserve"> 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为了给用户持续提供更好的退货服务体验，我们基于公司今年的平台化战略，逐步通过平台化撬动供应商与我们一起承担退货成本。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另外在这个过程中，“基于对上下游价值权益保障，与公司投入产出的平衡。无忧退”与平台化“无理由退货”会同时存在。平台化提供“无理由退货”的商家会给用户提供100%的退货服务，用户的退货比可能会上升，风险不可控，因此需输出整个退货服务的风控控制方案。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项目目标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z w:val="24"/>
        </w:rPr>
        <w:t xml:space="preserve"> </w:t>
      </w:r>
    </w:p>
    <w:p>
      <w:pPr>
        <w:tabs>
          <w:tab w:val="left" w:pos="312"/>
        </w:tabs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做好无理由退货服务的风险控制，不断撬动平台化入驻商家为用户提供</w:t>
      </w:r>
      <w:r>
        <w:rPr>
          <w:rFonts w:ascii="微软雅黑" w:hAnsi="微软雅黑" w:eastAsia="微软雅黑" w:cs="微软雅黑"/>
          <w:color w:val="333333"/>
          <w:szCs w:val="21"/>
        </w:rPr>
        <w:t>100%</w:t>
      </w:r>
      <w:r>
        <w:rPr>
          <w:rFonts w:hint="eastAsia" w:ascii="微软雅黑" w:hAnsi="微软雅黑" w:eastAsia="微软雅黑" w:cs="微软雅黑"/>
          <w:color w:val="333333"/>
          <w:szCs w:val="21"/>
        </w:rPr>
        <w:t>无理由退货，提升用户对退货的满足度，保证无理由退货服务可持续长期运转。</w:t>
      </w:r>
    </w:p>
    <w:p>
      <w:pPr>
        <w:pStyle w:val="6"/>
        <w:spacing w:line="300" w:lineRule="exact"/>
        <w:ind w:firstLine="0" w:firstLineChars="0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pStyle w:val="6"/>
        <w:spacing w:line="300" w:lineRule="exact"/>
        <w:ind w:firstLine="0" w:firstLineChars="0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退货服务手续费收取节点</w:t>
      </w:r>
    </w:p>
    <w:p>
      <w:pPr>
        <w:spacing w:line="300" w:lineRule="exact"/>
        <w:ind w:firstLine="601" w:firstLineChars="250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ind w:left="-149" w:leftChars="-71" w:firstLine="525" w:firstLineChars="25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用户退货流程：下单</w:t>
      </w:r>
      <w:r>
        <w:rPr>
          <w:rFonts w:ascii="微软雅黑" w:hAnsi="微软雅黑" w:eastAsia="微软雅黑" w:cs="微软雅黑"/>
          <w:color w:val="333333"/>
          <w:szCs w:val="21"/>
        </w:rPr>
        <w:t>—</w:t>
      </w:r>
      <w:r>
        <w:rPr>
          <w:rFonts w:hint="eastAsia" w:ascii="微软雅黑" w:hAnsi="微软雅黑" w:eastAsia="微软雅黑" w:cs="微软雅黑"/>
          <w:color w:val="333333"/>
          <w:szCs w:val="21"/>
        </w:rPr>
        <w:t>始发</w:t>
      </w:r>
      <w:r>
        <w:rPr>
          <w:rFonts w:ascii="微软雅黑" w:hAnsi="微软雅黑" w:eastAsia="微软雅黑" w:cs="微软雅黑"/>
          <w:color w:val="333333"/>
          <w:szCs w:val="21"/>
        </w:rPr>
        <w:t>—</w:t>
      </w:r>
      <w:r>
        <w:rPr>
          <w:rFonts w:hint="eastAsia" w:ascii="微软雅黑" w:hAnsi="微软雅黑" w:eastAsia="微软雅黑" w:cs="微软雅黑"/>
          <w:color w:val="333333"/>
          <w:szCs w:val="21"/>
        </w:rPr>
        <w:t>签收</w:t>
      </w:r>
      <w:r>
        <w:rPr>
          <w:rFonts w:ascii="微软雅黑" w:hAnsi="微软雅黑" w:eastAsia="微软雅黑" w:cs="微软雅黑"/>
          <w:color w:val="333333"/>
          <w:szCs w:val="21"/>
        </w:rPr>
        <w:t>—</w:t>
      </w:r>
      <w:r>
        <w:rPr>
          <w:rFonts w:hint="eastAsia" w:ascii="微软雅黑" w:hAnsi="微软雅黑" w:eastAsia="微软雅黑" w:cs="微软雅黑"/>
          <w:color w:val="FF0000"/>
          <w:szCs w:val="21"/>
        </w:rPr>
        <w:t>无理由退货</w:t>
      </w:r>
      <w:r>
        <w:rPr>
          <w:rFonts w:ascii="微软雅黑" w:hAnsi="微软雅黑" w:eastAsia="微软雅黑" w:cs="微软雅黑"/>
          <w:color w:val="333333"/>
          <w:szCs w:val="21"/>
        </w:rPr>
        <w:t>—</w:t>
      </w:r>
      <w:r>
        <w:rPr>
          <w:rFonts w:hint="eastAsia" w:ascii="微软雅黑" w:hAnsi="微软雅黑" w:eastAsia="微软雅黑" w:cs="微软雅黑"/>
          <w:color w:val="333333"/>
          <w:szCs w:val="21"/>
        </w:rPr>
        <w:t>仓库</w:t>
      </w:r>
      <w:r>
        <w:rPr>
          <w:rFonts w:ascii="微软雅黑" w:hAnsi="微软雅黑" w:eastAsia="微软雅黑" w:cs="微软雅黑"/>
          <w:color w:val="333333"/>
          <w:szCs w:val="21"/>
        </w:rPr>
        <w:t>—</w:t>
      </w:r>
      <w:r>
        <w:rPr>
          <w:rFonts w:hint="eastAsia" w:ascii="微软雅黑" w:hAnsi="微软雅黑" w:eastAsia="微软雅黑" w:cs="微软雅黑"/>
          <w:color w:val="333333"/>
          <w:szCs w:val="21"/>
        </w:rPr>
        <w:t>钱包</w:t>
      </w:r>
    </w:p>
    <w:p>
      <w:pPr>
        <w:pStyle w:val="6"/>
        <w:spacing w:line="300" w:lineRule="exact"/>
        <w:ind w:left="571" w:leftChars="272" w:firstLine="0" w:firstLineChars="0"/>
        <w:rPr>
          <w:rFonts w:ascii="微软雅黑" w:hAnsi="微软雅黑" w:eastAsia="微软雅黑" w:cs="微软雅黑"/>
          <w:color w:val="333333"/>
          <w:sz w:val="24"/>
        </w:rPr>
      </w:pPr>
    </w:p>
    <w:p>
      <w:pPr>
        <w:pStyle w:val="6"/>
        <w:spacing w:line="300" w:lineRule="exact"/>
        <w:ind w:left="420" w:leftChars="200" w:firstLine="0" w:firstLineChars="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因公司的分账系统，用户一手钱包里的钱=用户在平安银行子账户里的钱，用户提现的时候一手不能收取额外的手续费（收取手续费不合法），因此，如要收取用户的手续费用，费用收取的环节要前置，所以手续费用的收取要在用户申请无理由退货环节收取。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风控方案</w:t>
      </w: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 w:val="24"/>
        </w:rPr>
      </w:pPr>
    </w:p>
    <w:p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①100%无理由</w:t>
      </w:r>
      <w:r>
        <w:rPr>
          <w:rFonts w:hint="eastAsia" w:ascii="微软雅黑" w:hAnsi="微软雅黑" w:eastAsia="微软雅黑" w:cs="微软雅黑"/>
          <w:lang w:eastAsia="zh-CN"/>
        </w:rPr>
        <w:t>近</w:t>
      </w:r>
      <w:r>
        <w:rPr>
          <w:rFonts w:hint="eastAsia" w:ascii="微软雅黑" w:hAnsi="微软雅黑" w:eastAsia="微软雅黑" w:cs="微软雅黑"/>
          <w:lang w:val="en-US" w:eastAsia="zh-CN"/>
        </w:rPr>
        <w:t>30天</w:t>
      </w:r>
      <w:r>
        <w:rPr>
          <w:rFonts w:hint="eastAsia" w:ascii="微软雅黑" w:hAnsi="微软雅黑" w:eastAsia="微软雅黑" w:cs="微软雅黑"/>
        </w:rPr>
        <w:t>累计退货比超</w:t>
      </w:r>
      <w:r>
        <w:rPr>
          <w:rFonts w:hint="eastAsia" w:ascii="微软雅黑" w:hAnsi="微软雅黑" w:eastAsia="微软雅黑" w:cs="微软雅黑"/>
          <w:lang w:val="en-US" w:eastAsia="zh-CN"/>
        </w:rPr>
        <w:t>18</w:t>
      </w:r>
      <w:r>
        <w:rPr>
          <w:rFonts w:hint="eastAsia" w:ascii="微软雅黑" w:hAnsi="微软雅黑" w:eastAsia="微软雅黑" w:cs="微软雅黑"/>
        </w:rPr>
        <w:t>%的用户梯队收服务费（无忧退不收费）；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 w:ascii="微软雅黑" w:hAnsi="微软雅黑" w:eastAsia="微软雅黑" w:cs="微软雅黑"/>
          <w:lang w:eastAsia="zh-CN"/>
        </w:rPr>
        <w:t>累计实发金额超过</w:t>
      </w:r>
      <w:r>
        <w:rPr>
          <w:rFonts w:hint="eastAsia" w:ascii="微软雅黑" w:hAnsi="微软雅黑" w:eastAsia="微软雅黑" w:cs="微软雅黑"/>
          <w:lang w:val="en-US" w:eastAsia="zh-CN"/>
        </w:rPr>
        <w:t>500；100%无理有退货商品退货比超过80%下架，退货比介于40%-80%，流量降权</w:t>
      </w:r>
    </w:p>
    <w:tbl>
      <w:tblPr>
        <w:tblStyle w:val="5"/>
        <w:tblpPr w:leftFromText="180" w:rightFromText="180" w:vertAnchor="text" w:horzAnchor="page" w:tblpX="1406" w:tblpY="176"/>
        <w:tblOverlap w:val="never"/>
        <w:tblW w:w="9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67"/>
        <w:gridCol w:w="875"/>
        <w:gridCol w:w="1312"/>
        <w:gridCol w:w="3012"/>
        <w:gridCol w:w="2588"/>
      </w:tblGrid>
      <w:tr>
        <w:trPr>
          <w:trHeight w:val="3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具体规则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潜在风险点</w:t>
            </w:r>
          </w:p>
        </w:tc>
      </w:tr>
      <w:tr>
        <w:tblPrEx>
          <w:shd w:val="clear" w:color="auto" w:fill="auto"/>
        </w:tblPrEx>
        <w:trPr>
          <w:trHeight w:val="606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用户端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业务风控方案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808080" w:themeColor="text1" w:themeTint="80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（正常用户高退货比）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不支持提现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不支持线上提现，联系客服提现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不能提现带来的客诉且不合法，存在法务风险</w:t>
            </w:r>
          </w:p>
        </w:tc>
      </w:tr>
      <w:tr>
        <w:tblPrEx>
          <w:shd w:val="clear" w:color="auto" w:fill="auto"/>
        </w:tblPrEx>
        <w:trPr>
          <w:trHeight w:val="5037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 用户可线上提现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2.退货比高的用户梯队收服务费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1.每个用户有</w:t>
            </w: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00免收服务费的退货金额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2.退货金额超过</w:t>
            </w: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00后，按照累计退货比梯队收费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（近30天累计退货比）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100%无理由累计退货比介于（0，18%]，不收取服务费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100%无理由累计退货比介于（18%，25%]，服务费10%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100%无理由累计退货比介于（25%，30%]，服务费15%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100%无理由累计退货比介于（30%，40%]，服务费20%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100%无理由累计退货比介于（40%，50%]，服务费40%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100%无理由累计退货比大于50%，服务费50%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1.不能接受梯度收费产生客诉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shd w:val="clear" w:color="auto" w:fill="auto"/>
        </w:tblPrEx>
        <w:trPr>
          <w:trHeight w:val="1080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防"坏人"方案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808080" w:themeColor="text1" w:themeTint="80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（恶意用户恶意退货）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2021Q2-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创建黑白名单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1.黑名单：黑名单用户可下单不享受无理由退货服务，商品标签全为“不支持退货”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2.白名单：用户退货不收取服务费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错误判断用户带来的风险</w:t>
            </w:r>
          </w:p>
        </w:tc>
      </w:tr>
      <w:tr>
        <w:tblPrEx>
          <w:shd w:val="clear" w:color="auto" w:fill="auto"/>
        </w:tblPrEx>
        <w:trPr>
          <w:trHeight w:val="9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商品风控方案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2021Q2-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高退货比商品不提供无理由退货服务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实发金额超过500，100%无理由退货商品的商品退货比高的商品（80%以上），直接下架，商品退货比介于[40%-80%）,流量降权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需有商品的退货数才能判别商品是否为高退货比商品，具有滞后性</w:t>
            </w:r>
          </w:p>
        </w:tc>
      </w:tr>
    </w:tbl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长期解决方案具体业务规则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numPr>
          <w:ilvl w:val="0"/>
          <w:numId w:val="1"/>
        </w:numPr>
        <w:spacing w:line="300" w:lineRule="exact"/>
        <w:ind w:left="42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用户可线上提现</w:t>
      </w:r>
    </w:p>
    <w:p>
      <w:pPr>
        <w:numPr>
          <w:ilvl w:val="0"/>
          <w:numId w:val="1"/>
        </w:numPr>
        <w:spacing w:line="300" w:lineRule="exact"/>
        <w:ind w:left="42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每个账号可享受</w:t>
      </w:r>
      <w:r>
        <w:rPr>
          <w:rFonts w:hint="default" w:ascii="微软雅黑" w:hAnsi="微软雅黑" w:eastAsia="微软雅黑" w:cs="微软雅黑"/>
          <w:color w:val="333333"/>
          <w:szCs w:val="21"/>
          <w:lang w:val="en-US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00免手续费退货额度（每个账号实际退货金额不超过</w:t>
      </w:r>
      <w:r>
        <w:rPr>
          <w:rFonts w:hint="default" w:ascii="微软雅黑" w:hAnsi="微软雅黑" w:eastAsia="微软雅黑" w:cs="微软雅黑"/>
          <w:color w:val="333333"/>
          <w:szCs w:val="21"/>
          <w:lang w:val="en-US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00时，不管用户的退货比是多少，不收取任何手续费），超过</w:t>
      </w:r>
      <w:r>
        <w:rPr>
          <w:rFonts w:hint="default" w:ascii="微软雅黑" w:hAnsi="微软雅黑" w:eastAsia="微软雅黑" w:cs="微软雅黑"/>
          <w:color w:val="333333"/>
          <w:szCs w:val="21"/>
          <w:lang w:val="en-US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00的部分，按照累计退货比梯队收费</w:t>
      </w:r>
    </w:p>
    <w:p>
      <w:pPr>
        <w:numPr>
          <w:ilvl w:val="0"/>
          <w:numId w:val="1"/>
        </w:numPr>
        <w:spacing w:line="300" w:lineRule="exact"/>
        <w:ind w:left="42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近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30天100%无理由累计</w:t>
      </w:r>
      <w:r>
        <w:rPr>
          <w:rFonts w:hint="eastAsia" w:ascii="微软雅黑" w:hAnsi="微软雅黑" w:eastAsia="微软雅黑" w:cs="微软雅黑"/>
          <w:color w:val="333333"/>
          <w:szCs w:val="21"/>
        </w:rPr>
        <w:t>退货比=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近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30天100%</w:t>
      </w:r>
      <w:r>
        <w:rPr>
          <w:rFonts w:hint="default" w:ascii="微软雅黑" w:hAnsi="微软雅黑" w:eastAsia="微软雅黑" w:cs="微软雅黑"/>
          <w:color w:val="333333"/>
          <w:szCs w:val="21"/>
          <w:lang w:eastAsia="zh-CN"/>
        </w:rPr>
        <w:t>无理由申请且未取消金额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/近30天100%无理由</w:t>
      </w:r>
      <w:r>
        <w:rPr>
          <w:rFonts w:hint="default" w:ascii="微软雅黑" w:hAnsi="微软雅黑" w:eastAsia="微软雅黑" w:cs="微软雅黑"/>
          <w:color w:val="333333"/>
          <w:szCs w:val="21"/>
          <w:lang w:eastAsia="zh-CN"/>
        </w:rPr>
        <w:t>商品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累计实发金额</w:t>
      </w:r>
    </w:p>
    <w:p>
      <w:pPr>
        <w:numPr>
          <w:ilvl w:val="0"/>
          <w:numId w:val="1"/>
        </w:numPr>
        <w:spacing w:line="300" w:lineRule="exact"/>
        <w:ind w:left="42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100%无理由</w:t>
      </w:r>
      <w:r>
        <w:rPr>
          <w:rFonts w:hint="eastAsia" w:ascii="微软雅黑" w:hAnsi="微软雅黑" w:eastAsia="微软雅黑" w:cs="微软雅黑"/>
          <w:color w:val="333333"/>
          <w:szCs w:val="21"/>
        </w:rPr>
        <w:t>退货比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实时更新</w:t>
      </w:r>
      <w:bookmarkStart w:id="0" w:name="_GoBack"/>
      <w:bookmarkEnd w:id="0"/>
    </w:p>
    <w:p>
      <w:pPr>
        <w:numPr>
          <w:ilvl w:val="0"/>
          <w:numId w:val="1"/>
        </w:numPr>
        <w:spacing w:line="300" w:lineRule="exact"/>
        <w:ind w:left="42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用户申请退货时根据累计退货比收取对应的手续费用，具体收费标准如下：</w:t>
      </w:r>
    </w:p>
    <w:p>
      <w:pPr>
        <w:numPr>
          <w:ilvl w:val="0"/>
          <w:numId w:val="0"/>
        </w:num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numPr>
          <w:ilvl w:val="0"/>
          <w:numId w:val="0"/>
        </w:num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</w:rPr>
      </w:pPr>
    </w:p>
    <w:p>
      <w:pPr>
        <w:numPr>
          <w:ilvl w:val="0"/>
          <w:numId w:val="0"/>
        </w:num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（</w:t>
      </w:r>
      <w:r>
        <w:rPr>
          <w:rFonts w:ascii="微软雅黑" w:hAnsi="微软雅黑" w:eastAsia="微软雅黑" w:cs="微软雅黑"/>
          <w:b/>
          <w:bCs/>
          <w:color w:val="333333"/>
          <w:szCs w:val="21"/>
        </w:rPr>
        <w:t>PS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：收取</w:t>
      </w:r>
      <w:r>
        <w:rPr>
          <w:rFonts w:hint="default" w:ascii="微软雅黑" w:hAnsi="微软雅黑" w:eastAsia="微软雅黑" w:cs="微软雅黑"/>
          <w:b/>
          <w:bCs/>
          <w:color w:val="333333"/>
          <w:szCs w:val="21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费的退货比门槛及</w:t>
      </w:r>
      <w:r>
        <w:rPr>
          <w:rFonts w:hint="default" w:ascii="微软雅黑" w:hAnsi="微软雅黑" w:eastAsia="微软雅黑" w:cs="微软雅黑"/>
          <w:b/>
          <w:bCs/>
          <w:color w:val="333333"/>
          <w:szCs w:val="21"/>
        </w:rPr>
        <w:t>退货比</w:t>
      </w: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步长后端不要写死，可配置）</w:t>
      </w:r>
    </w:p>
    <w:tbl>
      <w:tblPr>
        <w:tblStyle w:val="5"/>
        <w:tblpPr w:leftFromText="180" w:rightFromText="180" w:vertAnchor="text" w:horzAnchor="page" w:tblpX="2095" w:tblpY="203"/>
        <w:tblOverlap w:val="never"/>
        <w:tblW w:w="2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005"/>
      </w:tblGrid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用户退货比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服务费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&lt;</w:t>
            </w: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0服务费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%-</w:t>
            </w: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10%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%-</w:t>
            </w: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5%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%</w:t>
            </w: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-40%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0%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40%-50%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40%</w:t>
            </w:r>
          </w:p>
        </w:tc>
      </w:tr>
      <w:tr>
        <w:trPr>
          <w:trHeight w:val="33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&gt;50%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Cs w:val="21"/>
                <w:lang w:val="en-US"/>
              </w:rPr>
              <w:t>50%</w:t>
            </w:r>
          </w:p>
        </w:tc>
      </w:tr>
    </w:tbl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退货黑白名单规则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</w:t>
      </w:r>
      <w:r>
        <w:rPr>
          <w:rFonts w:ascii="微软雅黑" w:hAnsi="微软雅黑" w:eastAsia="微软雅黑" w:cs="微软雅黑"/>
          <w:color w:val="333333"/>
          <w:szCs w:val="21"/>
        </w:rPr>
        <w:t>.</w:t>
      </w:r>
      <w:r>
        <w:rPr>
          <w:rFonts w:hint="eastAsia" w:ascii="微软雅黑" w:hAnsi="微软雅黑" w:eastAsia="微软雅黑" w:cs="微软雅黑"/>
          <w:color w:val="333333"/>
          <w:szCs w:val="21"/>
        </w:rPr>
        <w:t>加入黑名单用户可正常购买商品，不享受无理由退货服务，所有的商品及档口不展示任何的“无理由”退货标签，不展示无理由退货入口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2</w:t>
      </w:r>
      <w:r>
        <w:rPr>
          <w:rFonts w:ascii="微软雅黑" w:hAnsi="微软雅黑" w:eastAsia="微软雅黑" w:cs="微软雅黑"/>
          <w:color w:val="333333"/>
          <w:szCs w:val="21"/>
        </w:rPr>
        <w:t>.</w:t>
      </w:r>
      <w:r>
        <w:rPr>
          <w:rFonts w:hint="eastAsia" w:ascii="微软雅黑" w:hAnsi="微软雅黑" w:eastAsia="微软雅黑" w:cs="微软雅黑"/>
          <w:color w:val="333333"/>
          <w:szCs w:val="21"/>
        </w:rPr>
        <w:t>加入白名单用户不限制用户的退货行为，不收取任何费用，申请后工单系统自动通过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FF0000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业务思考</w:t>
      </w:r>
    </w:p>
    <w:p>
      <w:pPr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为什么要给每个账号免收手续费的退货额度？为什么设置的门槛是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00？</w:t>
      </w:r>
    </w:p>
    <w:p>
      <w:pPr>
        <w:numPr>
          <w:ilvl w:val="0"/>
          <w:numId w:val="2"/>
        </w:numPr>
        <w:spacing w:line="300" w:lineRule="exact"/>
        <w:ind w:left="42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给小客/新客一个保护期；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新客首单赠送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200无理由退货额度</w:t>
      </w:r>
    </w:p>
    <w:p>
      <w:pPr>
        <w:numPr>
          <w:ilvl w:val="0"/>
          <w:numId w:val="2"/>
        </w:numPr>
        <w:spacing w:line="300" w:lineRule="exact"/>
        <w:ind w:left="42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风险可控</w:t>
      </w:r>
    </w:p>
    <w:p>
      <w:pPr>
        <w:spacing w:line="300" w:lineRule="exact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退货比梯队设置（区间）的逻辑是？</w:t>
      </w:r>
    </w:p>
    <w:p>
      <w:pPr>
        <w:numPr>
          <w:ilvl w:val="0"/>
          <w:numId w:val="0"/>
        </w:numPr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平台不亏损，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按照退货服务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ROI测算知100%无理由退货比超过18%，收益无法覆盖成本。</w:t>
      </w: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 xml:space="preserve">            </w:t>
      </w:r>
    </w:p>
    <w:p>
      <w:pPr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联动方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用户运营：用户渗透：覆盖率，使用率，价值透传</w:t>
      </w:r>
      <w:r>
        <w:rPr>
          <w:rFonts w:hint="eastAsia" w:ascii="微软雅黑" w:hAnsi="微软雅黑" w:eastAsia="微软雅黑" w:cs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Cs w:val="21"/>
        </w:rPr>
        <w:t>平台化：商家与一手共同承担退货成本</w:t>
      </w:r>
      <w:r>
        <w:rPr>
          <w:rFonts w:hint="eastAsia" w:ascii="微软雅黑" w:hAnsi="微软雅黑" w:eastAsia="微软雅黑" w:cs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Cs w:val="21"/>
        </w:rPr>
        <w:t>产品/技术：风控方案实现产品化</w:t>
      </w:r>
      <w:r>
        <w:rPr>
          <w:rFonts w:hint="eastAsia" w:ascii="微软雅黑" w:hAnsi="微软雅黑" w:eastAsia="微软雅黑" w:cs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Cs w:val="21"/>
        </w:rPr>
        <w:t>法务/财务：项目提现合规与财务问题</w:t>
      </w:r>
      <w:r>
        <w:rPr>
          <w:rFonts w:hint="eastAsia" w:ascii="微软雅黑" w:hAnsi="微软雅黑" w:eastAsia="微软雅黑" w:cs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Cs w:val="21"/>
        </w:rPr>
        <w:t>数据/财务：项目ROI监控与目标</w:t>
      </w:r>
      <w:r>
        <w:rPr>
          <w:rFonts w:hint="eastAsia" w:ascii="微软雅黑" w:hAnsi="微软雅黑" w:eastAsia="微软雅黑" w:cs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Cs w:val="21"/>
        </w:rPr>
        <w:t>供应链：库存周转及亏损控制</w:t>
      </w:r>
    </w:p>
    <w:p>
      <w:pPr>
        <w:spacing w:line="300" w:lineRule="exact"/>
        <w:ind w:left="210" w:leftChars="100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ind w:left="210" w:leftChars="100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ind w:left="210" w:leftChars="100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ind w:left="210" w:leftChars="100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项目规划</w:t>
      </w:r>
    </w:p>
    <w:p>
      <w:pPr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Q</w:t>
      </w:r>
      <w:r>
        <w:rPr>
          <w:rFonts w:ascii="微软雅黑" w:hAnsi="微软雅黑" w:eastAsia="微软雅黑" w:cs="微软雅黑"/>
          <w:color w:val="333333"/>
          <w:szCs w:val="21"/>
        </w:rPr>
        <w:t>1 100</w:t>
      </w:r>
      <w:r>
        <w:rPr>
          <w:rFonts w:hint="eastAsia" w:ascii="微软雅黑" w:hAnsi="微软雅黑" w:eastAsia="微软雅黑" w:cs="微软雅黑"/>
          <w:color w:val="333333"/>
          <w:szCs w:val="21"/>
        </w:rPr>
        <w:t>家供应商提供无理由退货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Q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2 </w:t>
      </w:r>
      <w:r>
        <w:rPr>
          <w:rFonts w:hint="eastAsia" w:ascii="微软雅黑" w:hAnsi="微软雅黑" w:eastAsia="微软雅黑" w:cs="微软雅黑"/>
          <w:color w:val="333333"/>
          <w:szCs w:val="21"/>
        </w:rPr>
        <w:t>30%GMV可享受无理由退货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Q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color w:val="333333"/>
          <w:szCs w:val="21"/>
        </w:rPr>
        <w:t>42%GMV可享受无理由退货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Q</w:t>
      </w:r>
      <w:r>
        <w:rPr>
          <w:rFonts w:ascii="微软雅黑" w:hAnsi="微软雅黑" w:eastAsia="微软雅黑" w:cs="微软雅黑"/>
          <w:color w:val="333333"/>
          <w:szCs w:val="21"/>
        </w:rPr>
        <w:t xml:space="preserve">4 </w:t>
      </w:r>
      <w:r>
        <w:rPr>
          <w:rFonts w:hint="eastAsia" w:ascii="微软雅黑" w:hAnsi="微软雅黑" w:eastAsia="微软雅黑" w:cs="微软雅黑"/>
          <w:color w:val="333333"/>
          <w:szCs w:val="21"/>
        </w:rPr>
        <w:t>50%GMV可享受无理由退货</w:t>
      </w: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ind w:left="210" w:leftChars="100"/>
        <w:rPr>
          <w:rFonts w:hint="eastAsia" w:ascii="微软雅黑" w:hAnsi="微软雅黑" w:eastAsia="微软雅黑" w:cs="微软雅黑"/>
          <w:color w:val="333333"/>
          <w:szCs w:val="21"/>
        </w:rPr>
      </w:pP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验收指标</w:t>
      </w:r>
    </w:p>
    <w:p>
      <w:pPr>
        <w:spacing w:line="300" w:lineRule="exac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spacing w:line="300" w:lineRule="exact"/>
        <w:ind w:left="210" w:leftChars="1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ROI</w:t>
      </w:r>
    </w:p>
    <w:p>
      <w:pPr>
        <w:spacing w:line="300" w:lineRule="exact"/>
        <w:ind w:left="210" w:leftChars="1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方案实现进度</w:t>
      </w:r>
    </w:p>
    <w:p>
      <w:pPr>
        <w:tabs>
          <w:tab w:val="left" w:pos="312"/>
        </w:tabs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</w:p>
    <w:p>
      <w:pPr>
        <w:tabs>
          <w:tab w:val="left" w:pos="312"/>
        </w:tabs>
        <w:spacing w:line="300" w:lineRule="exact"/>
        <w:rPr>
          <w:rFonts w:ascii="微软雅黑" w:hAnsi="微软雅黑" w:eastAsia="微软雅黑" w:cs="微软雅黑"/>
          <w:color w:val="333333"/>
          <w:szCs w:val="21"/>
        </w:rPr>
      </w:pPr>
    </w:p>
    <w:p>
      <w:pPr>
        <w:tabs>
          <w:tab w:val="left" w:pos="312"/>
        </w:tabs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  <w:t>梯队收费数据校验</w:t>
      </w:r>
    </w:p>
    <w:p>
      <w:pPr>
        <w:tabs>
          <w:tab w:val="left" w:pos="312"/>
        </w:tabs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</w:pPr>
    </w:p>
    <w:p>
      <w:pPr>
        <w:tabs>
          <w:tab w:val="left" w:pos="312"/>
        </w:tabs>
        <w:spacing w:line="300" w:lineRule="exact"/>
        <w:rPr>
          <w:rFonts w:hint="default" w:ascii="微软雅黑" w:hAnsi="微软雅黑" w:eastAsia="微软雅黑" w:cs="微软雅黑"/>
          <w:b/>
          <w:bCs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Cs w:val="21"/>
          <w:lang w:val="en-US" w:eastAsia="zh-CN"/>
        </w:rPr>
        <w:t>按照11月100%无理由退货测试用户拿货退货的行为测算风控梯队收费盈亏，整体盈利1w+</w:t>
      </w:r>
      <w:r>
        <w:rPr>
          <w:rFonts w:hint="default" w:ascii="微软雅黑" w:hAnsi="微软雅黑" w:eastAsia="微软雅黑" w:cs="微软雅黑"/>
          <w:b w:val="0"/>
          <w:bCs w:val="0"/>
          <w:color w:val="333333"/>
          <w:szCs w:val="21"/>
          <w:lang w:eastAsia="zh-CN"/>
        </w:rPr>
        <w:t>（已扣除免收200手续费的退货金额）</w:t>
      </w:r>
    </w:p>
    <w:tbl>
      <w:tblPr>
        <w:tblStyle w:val="5"/>
        <w:tblW w:w="79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840"/>
        <w:gridCol w:w="1335"/>
        <w:gridCol w:w="1560"/>
        <w:gridCol w:w="1260"/>
        <w:gridCol w:w="1485"/>
      </w:tblGrid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月累计退货比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佣金收入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二次周转收入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净盈亏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18%以下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10106.59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2221.245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7885.345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18%-25%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12018.557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11894.62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1360.265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2284.202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25%-30%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362.254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472.835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-102.945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30%-40%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600.595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1019.815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293.9365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-125.2835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1189.906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3806.035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2805.595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189.466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24277.902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19414.55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4467.4325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10130.7845</w:t>
            </w:r>
          </w:p>
        </w:tc>
      </w:tr>
    </w:tbl>
    <w:p>
      <w:pPr>
        <w:tabs>
          <w:tab w:val="left" w:pos="312"/>
        </w:tabs>
        <w:spacing w:line="300" w:lineRule="exact"/>
        <w:rPr>
          <w:rFonts w:hint="eastAsia" w:ascii="微软雅黑" w:hAnsi="微软雅黑" w:eastAsia="微软雅黑" w:cs="微软雅黑"/>
          <w:b/>
          <w:bCs/>
          <w:color w:val="333333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ejaV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FBF3B"/>
    <w:multiLevelType w:val="singleLevel"/>
    <w:tmpl w:val="D4DFB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A97CD1"/>
    <w:multiLevelType w:val="singleLevel"/>
    <w:tmpl w:val="F9A97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56"/>
    <w:rsid w:val="000147BE"/>
    <w:rsid w:val="000A1E80"/>
    <w:rsid w:val="000C094F"/>
    <w:rsid w:val="00161ACF"/>
    <w:rsid w:val="0016709E"/>
    <w:rsid w:val="00172A27"/>
    <w:rsid w:val="002209E2"/>
    <w:rsid w:val="00232DBD"/>
    <w:rsid w:val="00253F46"/>
    <w:rsid w:val="002E023E"/>
    <w:rsid w:val="003924AF"/>
    <w:rsid w:val="003D6A7D"/>
    <w:rsid w:val="00403A39"/>
    <w:rsid w:val="00410A3A"/>
    <w:rsid w:val="00445AEA"/>
    <w:rsid w:val="00463E4B"/>
    <w:rsid w:val="00544633"/>
    <w:rsid w:val="005503A7"/>
    <w:rsid w:val="00586B9C"/>
    <w:rsid w:val="005B1C18"/>
    <w:rsid w:val="00664B9E"/>
    <w:rsid w:val="007E348F"/>
    <w:rsid w:val="009027D9"/>
    <w:rsid w:val="00963D65"/>
    <w:rsid w:val="009677FC"/>
    <w:rsid w:val="009D5A02"/>
    <w:rsid w:val="009E0A63"/>
    <w:rsid w:val="009F3AD7"/>
    <w:rsid w:val="00A00A9D"/>
    <w:rsid w:val="00A3321D"/>
    <w:rsid w:val="00A96990"/>
    <w:rsid w:val="00B33118"/>
    <w:rsid w:val="00B84667"/>
    <w:rsid w:val="00B84F2D"/>
    <w:rsid w:val="00BA32EF"/>
    <w:rsid w:val="00BE073D"/>
    <w:rsid w:val="00CC5A3A"/>
    <w:rsid w:val="00D44723"/>
    <w:rsid w:val="00DA59E0"/>
    <w:rsid w:val="00E34122"/>
    <w:rsid w:val="00E90079"/>
    <w:rsid w:val="00EF759F"/>
    <w:rsid w:val="021F4D60"/>
    <w:rsid w:val="025A4C77"/>
    <w:rsid w:val="045F1D4D"/>
    <w:rsid w:val="050210DF"/>
    <w:rsid w:val="05046E7B"/>
    <w:rsid w:val="065871E7"/>
    <w:rsid w:val="0B7E103D"/>
    <w:rsid w:val="0F4E31E5"/>
    <w:rsid w:val="0FA727D0"/>
    <w:rsid w:val="1030512F"/>
    <w:rsid w:val="113371EF"/>
    <w:rsid w:val="17E352DE"/>
    <w:rsid w:val="1E8C183D"/>
    <w:rsid w:val="211766CB"/>
    <w:rsid w:val="21D82051"/>
    <w:rsid w:val="2387579E"/>
    <w:rsid w:val="275C5DE7"/>
    <w:rsid w:val="287020DB"/>
    <w:rsid w:val="28773B77"/>
    <w:rsid w:val="2BA639EE"/>
    <w:rsid w:val="2BFF08BA"/>
    <w:rsid w:val="2CBE30F3"/>
    <w:rsid w:val="2D6125CF"/>
    <w:rsid w:val="2F474432"/>
    <w:rsid w:val="309B6F54"/>
    <w:rsid w:val="30B57F82"/>
    <w:rsid w:val="31927EC8"/>
    <w:rsid w:val="31B458CA"/>
    <w:rsid w:val="32201054"/>
    <w:rsid w:val="32E17238"/>
    <w:rsid w:val="33D45AB1"/>
    <w:rsid w:val="34E358AC"/>
    <w:rsid w:val="35D50FE7"/>
    <w:rsid w:val="37775F60"/>
    <w:rsid w:val="38884557"/>
    <w:rsid w:val="38A4415D"/>
    <w:rsid w:val="39717010"/>
    <w:rsid w:val="3A842BAD"/>
    <w:rsid w:val="3B282D7D"/>
    <w:rsid w:val="3BF54AEB"/>
    <w:rsid w:val="3F1F66C7"/>
    <w:rsid w:val="40827D87"/>
    <w:rsid w:val="433C1765"/>
    <w:rsid w:val="461B5D5F"/>
    <w:rsid w:val="49D15C6E"/>
    <w:rsid w:val="49D91B44"/>
    <w:rsid w:val="4F3E55D9"/>
    <w:rsid w:val="4FBD28C1"/>
    <w:rsid w:val="515B623C"/>
    <w:rsid w:val="52962B96"/>
    <w:rsid w:val="53756C20"/>
    <w:rsid w:val="53EE3174"/>
    <w:rsid w:val="55B731E0"/>
    <w:rsid w:val="55F37A95"/>
    <w:rsid w:val="561A6C8B"/>
    <w:rsid w:val="57691D0A"/>
    <w:rsid w:val="58E95980"/>
    <w:rsid w:val="59557B12"/>
    <w:rsid w:val="59BC35A9"/>
    <w:rsid w:val="5B24357E"/>
    <w:rsid w:val="5B8B2689"/>
    <w:rsid w:val="5DF7C77B"/>
    <w:rsid w:val="60E17804"/>
    <w:rsid w:val="61A03EA0"/>
    <w:rsid w:val="61CB073F"/>
    <w:rsid w:val="61F030B0"/>
    <w:rsid w:val="62D04ED9"/>
    <w:rsid w:val="638002DC"/>
    <w:rsid w:val="65D026FB"/>
    <w:rsid w:val="66F619B0"/>
    <w:rsid w:val="67642E0B"/>
    <w:rsid w:val="67985843"/>
    <w:rsid w:val="67C66EB9"/>
    <w:rsid w:val="68FB6013"/>
    <w:rsid w:val="69405257"/>
    <w:rsid w:val="69C53383"/>
    <w:rsid w:val="6A093BCC"/>
    <w:rsid w:val="6BF10A49"/>
    <w:rsid w:val="6C4F41CF"/>
    <w:rsid w:val="6D190D70"/>
    <w:rsid w:val="6D7521AB"/>
    <w:rsid w:val="6DE26BBC"/>
    <w:rsid w:val="6E123499"/>
    <w:rsid w:val="6F44658A"/>
    <w:rsid w:val="705745DE"/>
    <w:rsid w:val="714A4F52"/>
    <w:rsid w:val="72BC6777"/>
    <w:rsid w:val="74501F62"/>
    <w:rsid w:val="7C943A8B"/>
    <w:rsid w:val="7D0D799F"/>
    <w:rsid w:val="7D3957DA"/>
    <w:rsid w:val="7E768F7A"/>
    <w:rsid w:val="7F54E883"/>
    <w:rsid w:val="7FA37917"/>
    <w:rsid w:val="B7EC0EA4"/>
    <w:rsid w:val="D6DEA461"/>
    <w:rsid w:val="DBEE828C"/>
    <w:rsid w:val="EFFE6531"/>
    <w:rsid w:val="FF53E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color w:val="595959"/>
      <w:sz w:val="18"/>
      <w:szCs w:val="18"/>
      <w:u w:val="none"/>
    </w:rPr>
  </w:style>
  <w:style w:type="character" w:customStyle="1" w:styleId="8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微软雅黑" w:hAnsi="微软雅黑" w:eastAsia="微软雅黑" w:cs="微软雅黑"/>
      <w:color w:val="595959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2021-01-26T05:13:00Z</dcterms:created>
  <dc:creator>Administrator</dc:creator>
  <cp:lastModifiedBy>cqy</cp:lastModifiedBy>
  <dcterms:modified xsi:type="dcterms:W3CDTF">2021-02-23T18:04:34Z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