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需求文档</w:t>
      </w:r>
    </w:p>
    <w:tbl>
      <w:tblPr>
        <w:tblStyle w:val="4"/>
        <w:tblW w:w="77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2729"/>
        <w:gridCol w:w="1400"/>
        <w:gridCol w:w="2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1142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bookmarkStart w:id="0" w:name="OLE_LINK1"/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产品名：</w:t>
            </w:r>
          </w:p>
        </w:tc>
        <w:tc>
          <w:tcPr>
            <w:tcW w:w="2729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售后工单新增寄回原因</w:t>
            </w:r>
          </w:p>
        </w:tc>
        <w:tc>
          <w:tcPr>
            <w:tcW w:w="1400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版本号：</w:t>
            </w:r>
          </w:p>
        </w:tc>
        <w:tc>
          <w:tcPr>
            <w:tcW w:w="2465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V1.0.0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142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编写人：</w:t>
            </w:r>
          </w:p>
        </w:tc>
        <w:tc>
          <w:tcPr>
            <w:tcW w:w="2729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谢泉汕</w:t>
            </w:r>
          </w:p>
        </w:tc>
        <w:tc>
          <w:tcPr>
            <w:tcW w:w="1400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编写日期：</w:t>
            </w:r>
          </w:p>
        </w:tc>
        <w:tc>
          <w:tcPr>
            <w:tcW w:w="2465" w:type="dxa"/>
            <w:vAlign w:val="center"/>
          </w:tcPr>
          <w:p>
            <w:pPr>
              <w:spacing w:before="100" w:beforeAutospacing="1" w:after="100" w:afterAutospacing="1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年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日</w:t>
            </w:r>
          </w:p>
        </w:tc>
      </w:tr>
      <w:bookmarkEnd w:id="0"/>
    </w:tbl>
    <w:p>
      <w:pPr>
        <w:jc w:val="both"/>
        <w:rPr>
          <w:rFonts w:hint="default"/>
          <w:b/>
          <w:bCs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default"/>
          <w:b/>
          <w:bCs/>
          <w:sz w:val="44"/>
          <w:szCs w:val="44"/>
          <w:lang w:val="en-US" w:eastAsia="zh-CN"/>
        </w:rPr>
      </w:pPr>
    </w:p>
    <w:p>
      <w:r>
        <w:rPr>
          <w:rFonts w:hint="eastAsia"/>
        </w:rPr>
        <w:t>版本历史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435"/>
        <w:gridCol w:w="965"/>
        <w:gridCol w:w="4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  <w:shd w:val="clear" w:color="auto" w:fill="ADB9CA" w:themeFill="text2" w:themeFillTint="66"/>
          </w:tcPr>
          <w:p>
            <w:pPr>
              <w:rPr>
                <w:rFonts w:ascii="Arial" w:hAnsi="Arial" w:eastAsia="宋体" w:cs="Arial"/>
                <w:b/>
                <w:bCs/>
                <w:color w:val="000000"/>
                <w:kern w:val="36"/>
                <w:szCs w:val="21"/>
              </w:rPr>
            </w:pPr>
            <w:bookmarkStart w:id="1" w:name="_Toc496878001"/>
            <w:bookmarkStart w:id="2" w:name="_Toc496877805"/>
            <w:r>
              <w:rPr>
                <w:rFonts w:hint="eastAsia" w:ascii="Arial" w:hAnsi="Arial" w:eastAsia="宋体" w:cs="Arial"/>
                <w:b/>
                <w:bCs/>
                <w:color w:val="000000"/>
                <w:kern w:val="36"/>
                <w:szCs w:val="21"/>
              </w:rPr>
              <w:t>文档版本</w:t>
            </w:r>
            <w:bookmarkEnd w:id="1"/>
            <w:bookmarkEnd w:id="2"/>
          </w:p>
        </w:tc>
        <w:tc>
          <w:tcPr>
            <w:tcW w:w="1435" w:type="dxa"/>
            <w:shd w:val="clear" w:color="auto" w:fill="ADB9CA" w:themeFill="text2" w:themeFillTint="66"/>
          </w:tcPr>
          <w:p>
            <w:pPr>
              <w:rPr>
                <w:rFonts w:ascii="Arial" w:hAnsi="Arial" w:eastAsia="宋体" w:cs="Arial"/>
                <w:b/>
                <w:bCs/>
                <w:color w:val="000000"/>
                <w:kern w:val="36"/>
                <w:szCs w:val="21"/>
              </w:rPr>
            </w:pPr>
            <w:bookmarkStart w:id="3" w:name="_Toc496878002"/>
            <w:bookmarkStart w:id="4" w:name="_Toc496877806"/>
            <w:r>
              <w:rPr>
                <w:rFonts w:hint="eastAsia" w:ascii="Arial" w:hAnsi="Arial" w:eastAsia="宋体" w:cs="Arial"/>
                <w:b/>
                <w:bCs/>
                <w:color w:val="000000"/>
                <w:kern w:val="36"/>
                <w:szCs w:val="21"/>
              </w:rPr>
              <w:t>撰写时间</w:t>
            </w:r>
            <w:bookmarkEnd w:id="3"/>
            <w:bookmarkEnd w:id="4"/>
          </w:p>
        </w:tc>
        <w:tc>
          <w:tcPr>
            <w:tcW w:w="965" w:type="dxa"/>
            <w:shd w:val="clear" w:color="auto" w:fill="ADB9CA" w:themeFill="text2" w:themeFillTint="66"/>
          </w:tcPr>
          <w:p>
            <w:pPr>
              <w:rPr>
                <w:rFonts w:ascii="Arial" w:hAnsi="Arial" w:eastAsia="宋体" w:cs="Arial"/>
                <w:b/>
                <w:bCs/>
                <w:color w:val="000000"/>
                <w:kern w:val="36"/>
                <w:szCs w:val="21"/>
              </w:rPr>
            </w:pPr>
            <w:bookmarkStart w:id="5" w:name="_Toc496878003"/>
            <w:bookmarkStart w:id="6" w:name="_Toc496877807"/>
            <w:r>
              <w:rPr>
                <w:rFonts w:hint="eastAsia" w:ascii="Arial" w:hAnsi="Arial" w:eastAsia="宋体" w:cs="Arial"/>
                <w:b/>
                <w:bCs/>
                <w:color w:val="000000"/>
                <w:kern w:val="36"/>
                <w:szCs w:val="21"/>
              </w:rPr>
              <w:t>变更人</w:t>
            </w:r>
            <w:bookmarkEnd w:id="5"/>
            <w:bookmarkEnd w:id="6"/>
          </w:p>
        </w:tc>
        <w:tc>
          <w:tcPr>
            <w:tcW w:w="4974" w:type="dxa"/>
            <w:shd w:val="clear" w:color="auto" w:fill="ADB9CA" w:themeFill="text2" w:themeFillTint="66"/>
          </w:tcPr>
          <w:p>
            <w:pPr>
              <w:rPr>
                <w:rFonts w:ascii="Arial" w:hAnsi="Arial" w:eastAsia="宋体" w:cs="Arial"/>
                <w:b/>
                <w:bCs/>
                <w:color w:val="000000"/>
                <w:kern w:val="36"/>
                <w:szCs w:val="21"/>
              </w:rPr>
            </w:pPr>
            <w:bookmarkStart w:id="7" w:name="_Toc496877808"/>
            <w:bookmarkStart w:id="8" w:name="_Toc496878004"/>
            <w:r>
              <w:rPr>
                <w:rFonts w:hint="eastAsia" w:ascii="Arial" w:hAnsi="Arial" w:eastAsia="宋体" w:cs="Arial"/>
                <w:b/>
                <w:bCs/>
                <w:color w:val="000000"/>
                <w:kern w:val="36"/>
                <w:szCs w:val="21"/>
              </w:rPr>
              <w:t>变更内容</w:t>
            </w:r>
            <w:bookmarkEnd w:id="7"/>
            <w:bookmarkEnd w:id="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48" w:type="dxa"/>
          </w:tcPr>
          <w:p>
            <w:pPr>
              <w:rPr>
                <w:rFonts w:ascii="Arial" w:hAnsi="Arial" w:eastAsia="宋体" w:cs="Arial"/>
                <w:bCs/>
                <w:color w:val="000000"/>
                <w:kern w:val="36"/>
                <w:szCs w:val="21"/>
              </w:rPr>
            </w:pPr>
            <w:bookmarkStart w:id="9" w:name="_Toc496877809"/>
            <w:bookmarkStart w:id="10" w:name="_Toc496878005"/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V1.0</w:t>
            </w:r>
            <w:bookmarkEnd w:id="9"/>
            <w:bookmarkEnd w:id="10"/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.</w:t>
            </w: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0</w:t>
            </w:r>
          </w:p>
        </w:tc>
        <w:tc>
          <w:tcPr>
            <w:tcW w:w="1435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bookmarkStart w:id="11" w:name="_Toc496878006"/>
            <w:bookmarkStart w:id="12" w:name="_Toc496877810"/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20</w:t>
            </w:r>
            <w:r>
              <w:rPr>
                <w:rFonts w:ascii="Arial" w:hAnsi="Arial" w:eastAsia="宋体" w:cs="Arial"/>
                <w:bCs/>
                <w:color w:val="000000"/>
                <w:kern w:val="36"/>
                <w:szCs w:val="21"/>
              </w:rPr>
              <w:t>2</w:t>
            </w: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1</w:t>
            </w: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-</w:t>
            </w:r>
            <w:bookmarkEnd w:id="11"/>
            <w:bookmarkEnd w:id="12"/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06</w:t>
            </w:r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-</w:t>
            </w: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21</w:t>
            </w:r>
          </w:p>
        </w:tc>
        <w:tc>
          <w:tcPr>
            <w:tcW w:w="965" w:type="dxa"/>
          </w:tcPr>
          <w:p>
            <w:pPr>
              <w:rPr>
                <w:rFonts w:hint="default" w:ascii="Arial" w:hAnsi="Arial" w:eastAsia="宋体" w:cs="Arial"/>
                <w:bCs/>
                <w:color w:val="000000"/>
                <w:kern w:val="36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color w:val="000000"/>
                <w:kern w:val="36"/>
                <w:szCs w:val="21"/>
                <w:lang w:val="en-US" w:eastAsia="zh-CN"/>
              </w:rPr>
              <w:t>谢泉汕</w:t>
            </w:r>
          </w:p>
        </w:tc>
        <w:tc>
          <w:tcPr>
            <w:tcW w:w="4974" w:type="dxa"/>
          </w:tcPr>
          <w:p>
            <w:pPr>
              <w:rPr>
                <w:rFonts w:ascii="Arial" w:hAnsi="Arial" w:eastAsia="宋体" w:cs="Arial"/>
                <w:bCs/>
                <w:color w:val="000000"/>
                <w:kern w:val="36"/>
                <w:szCs w:val="21"/>
              </w:rPr>
            </w:pPr>
            <w:bookmarkStart w:id="13" w:name="_Toc496878008"/>
            <w:bookmarkStart w:id="14" w:name="_Toc496877812"/>
            <w:r>
              <w:rPr>
                <w:rFonts w:hint="eastAsia" w:ascii="Arial" w:hAnsi="Arial" w:eastAsia="宋体" w:cs="Arial"/>
                <w:bCs/>
                <w:color w:val="000000"/>
                <w:kern w:val="36"/>
                <w:szCs w:val="21"/>
              </w:rPr>
              <w:t>新建</w:t>
            </w:r>
            <w:bookmarkEnd w:id="13"/>
            <w:bookmarkEnd w:id="14"/>
          </w:p>
        </w:tc>
      </w:tr>
    </w:tbl>
    <w:p>
      <w:pPr>
        <w:jc w:val="left"/>
        <w:rPr>
          <w:rFonts w:hint="default"/>
          <w:b/>
          <w:bCs/>
          <w:sz w:val="21"/>
          <w:szCs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售后工单商品列表新增寄回原因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需求背景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部分无理由退货包裹的商品，用户可能以次品原因寄回，为了提升售后拆包质检效率，新增寄回原因，便于售后人员快速识别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功能路径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页面路径：一手ERP/仓储管理/售后管理/售后工单商品列表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权限分配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页面原型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48255"/>
            <wp:effectExtent l="0" t="0" r="6350" b="12065"/>
            <wp:docPr id="1" name="图片 1" descr="售后工单商品列表新增寄回原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售后工单商品列表新增寄回原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需求说明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数据列表栏在二级问题列后新增【寄回原因】：数据来源于商城提供的寄回原因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导出按钮隐藏，已经不能在此列表</w:t>
      </w:r>
      <w:bookmarkStart w:id="15" w:name="_GoBack"/>
      <w:bookmarkEnd w:id="15"/>
      <w:r>
        <w:rPr>
          <w:rFonts w:hint="default"/>
          <w:lang w:val="en-US" w:eastAsia="zh-CN"/>
        </w:rPr>
        <w:t>导出工单信息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售后点货拆包新增寄回原因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需求背景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功能路径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页面路径：一手ERP/仓储管理/售后管理/售后点货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权限分配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页面原型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78735"/>
            <wp:effectExtent l="0" t="0" r="6350" b="12065"/>
            <wp:docPr id="2" name="图片 2" descr="售后点货拆包页新增寄回原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售后点货拆包页新增寄回原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需求说明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拆包信息栏在问题类型下新增【寄回原因】，规则如下：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t>a.若原因为空则展示【无】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  <w:t/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t>b.若原因不为空则展示具体原因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导出售后工单新增寄回原因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需求背景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功能路径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页面路径：一手ERP/仓储管理/任务管理/操作日志导出/售后工单商品列表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权限分配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略</w:t>
      </w:r>
    </w:p>
    <w:p>
      <w:pPr>
        <w:pStyle w:val="3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页面原型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549525"/>
            <wp:effectExtent l="0" t="0" r="12700" b="10795"/>
            <wp:docPr id="3" name="图片 3" descr="导出售后工单信息新增寄回原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导出售后工单信息新增寄回原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需求说明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导出列表在二级问题列后新增【寄回原因】列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528767"/>
    <w:multiLevelType w:val="singleLevel"/>
    <w:tmpl w:val="AA52876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191C29C"/>
    <w:multiLevelType w:val="multilevel"/>
    <w:tmpl w:val="0191C2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4DEEDF81"/>
    <w:multiLevelType w:val="singleLevel"/>
    <w:tmpl w:val="4DEEDF8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62F77CA2"/>
    <w:multiLevelType w:val="singleLevel"/>
    <w:tmpl w:val="62F77C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C7F3F"/>
    <w:rsid w:val="0BF41D72"/>
    <w:rsid w:val="0F41723E"/>
    <w:rsid w:val="0F9C688A"/>
    <w:rsid w:val="177058F4"/>
    <w:rsid w:val="24BD0330"/>
    <w:rsid w:val="266159CE"/>
    <w:rsid w:val="2C220880"/>
    <w:rsid w:val="2EF867F0"/>
    <w:rsid w:val="3D9646D4"/>
    <w:rsid w:val="3FE300F8"/>
    <w:rsid w:val="434C7F3F"/>
    <w:rsid w:val="48A6351E"/>
    <w:rsid w:val="597E1EB9"/>
    <w:rsid w:val="60C66968"/>
    <w:rsid w:val="6B9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59"/>
    <w:rPr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2021-04-08T01:46:00Z</dcterms:created>
  <dc:creator>AS</dc:creator>
  <cp:lastModifiedBy>泉汕</cp:lastModifiedBy>
  <dcterms:modified xsi:type="dcterms:W3CDTF">2021-06-21T07:56:18Z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